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5CC63" w14:textId="77777777" w:rsidR="0011083F" w:rsidRPr="0011083F" w:rsidRDefault="0011083F" w:rsidP="0011083F">
      <w:pPr>
        <w:spacing w:after="0" w:line="240" w:lineRule="auto"/>
        <w:jc w:val="center"/>
        <w:rPr>
          <w:rFonts w:ascii="Times New Roman" w:eastAsia="Calibri" w:hAnsi="Times New Roman" w:cs="Times New Roman"/>
          <w:b/>
          <w:sz w:val="72"/>
        </w:rPr>
      </w:pPr>
      <w:bookmarkStart w:id="0" w:name="_GoBack"/>
      <w:bookmarkEnd w:id="0"/>
    </w:p>
    <w:p w14:paraId="610EEEEF" w14:textId="77777777" w:rsidR="0011083F" w:rsidRPr="0011083F" w:rsidRDefault="0011083F" w:rsidP="0011083F">
      <w:pPr>
        <w:spacing w:after="0" w:line="240" w:lineRule="auto"/>
        <w:jc w:val="center"/>
        <w:rPr>
          <w:rFonts w:ascii="Times New Roman" w:eastAsia="Calibri" w:hAnsi="Times New Roman" w:cs="Times New Roman"/>
          <w:b/>
          <w:sz w:val="72"/>
        </w:rPr>
      </w:pPr>
    </w:p>
    <w:p w14:paraId="14F136FF" w14:textId="77777777" w:rsidR="0011083F" w:rsidRPr="0011083F" w:rsidRDefault="0011083F" w:rsidP="0011083F">
      <w:pPr>
        <w:spacing w:after="0" w:line="240" w:lineRule="auto"/>
        <w:jc w:val="center"/>
        <w:rPr>
          <w:rFonts w:ascii="Times New Roman" w:eastAsia="Calibri" w:hAnsi="Times New Roman" w:cs="Times New Roman"/>
          <w:b/>
          <w:sz w:val="72"/>
        </w:rPr>
      </w:pPr>
    </w:p>
    <w:p w14:paraId="04D784E5" w14:textId="77777777" w:rsidR="0011083F" w:rsidRPr="0011083F" w:rsidRDefault="0011083F" w:rsidP="0011083F">
      <w:pPr>
        <w:spacing w:after="0" w:line="240" w:lineRule="auto"/>
        <w:jc w:val="center"/>
        <w:rPr>
          <w:rFonts w:ascii="Times New Roman" w:eastAsia="Calibri" w:hAnsi="Times New Roman" w:cs="Times New Roman"/>
          <w:b/>
          <w:sz w:val="72"/>
        </w:rPr>
      </w:pPr>
    </w:p>
    <w:p w14:paraId="30658178" w14:textId="77777777" w:rsidR="00CE0C03" w:rsidRDefault="0011083F" w:rsidP="0011083F">
      <w:pPr>
        <w:spacing w:after="0" w:line="240" w:lineRule="auto"/>
        <w:jc w:val="center"/>
        <w:rPr>
          <w:rFonts w:ascii="Times New Roman" w:eastAsia="Calibri" w:hAnsi="Times New Roman" w:cs="Times New Roman"/>
          <w:b/>
          <w:sz w:val="72"/>
        </w:rPr>
      </w:pPr>
      <w:r w:rsidRPr="0011083F">
        <w:rPr>
          <w:rFonts w:ascii="Times New Roman" w:eastAsia="Calibri" w:hAnsi="Times New Roman" w:cs="Times New Roman"/>
          <w:b/>
          <w:sz w:val="72"/>
        </w:rPr>
        <w:t xml:space="preserve">Housing Authority of the </w:t>
      </w:r>
    </w:p>
    <w:p w14:paraId="5B11F7C4" w14:textId="2CE64450" w:rsidR="0011083F" w:rsidRPr="0011083F" w:rsidRDefault="00D035AA" w:rsidP="0011083F">
      <w:pPr>
        <w:spacing w:after="0" w:line="240" w:lineRule="auto"/>
        <w:jc w:val="center"/>
        <w:rPr>
          <w:rFonts w:ascii="Times New Roman" w:eastAsia="Calibri" w:hAnsi="Times New Roman" w:cs="Times New Roman"/>
          <w:b/>
          <w:sz w:val="72"/>
        </w:rPr>
      </w:pPr>
      <w:r>
        <w:rPr>
          <w:rFonts w:ascii="Times New Roman" w:eastAsia="Calibri" w:hAnsi="Times New Roman" w:cs="Times New Roman"/>
          <w:b/>
          <w:sz w:val="72"/>
        </w:rPr>
        <w:t>Town of Harrison</w:t>
      </w:r>
    </w:p>
    <w:p w14:paraId="5B5B0B58" w14:textId="77777777" w:rsidR="0011083F" w:rsidRPr="0011083F" w:rsidRDefault="0011083F" w:rsidP="0011083F">
      <w:pPr>
        <w:spacing w:after="0" w:line="240" w:lineRule="auto"/>
        <w:jc w:val="center"/>
        <w:rPr>
          <w:rFonts w:ascii="Times New Roman" w:eastAsia="Calibri" w:hAnsi="Times New Roman" w:cs="Times New Roman"/>
          <w:b/>
          <w:sz w:val="48"/>
        </w:rPr>
      </w:pPr>
    </w:p>
    <w:p w14:paraId="4ECF1372" w14:textId="77777777" w:rsidR="0011083F" w:rsidRPr="0011083F" w:rsidRDefault="0011083F" w:rsidP="0011083F">
      <w:pPr>
        <w:spacing w:after="0" w:line="240" w:lineRule="auto"/>
        <w:jc w:val="center"/>
        <w:rPr>
          <w:rFonts w:ascii="Times New Roman" w:eastAsia="Calibri" w:hAnsi="Times New Roman" w:cs="Times New Roman"/>
          <w:b/>
          <w:sz w:val="48"/>
        </w:rPr>
      </w:pPr>
    </w:p>
    <w:p w14:paraId="7929EC81" w14:textId="77777777" w:rsidR="0011083F" w:rsidRPr="0011083F" w:rsidRDefault="0011083F" w:rsidP="0011083F">
      <w:pPr>
        <w:spacing w:after="0" w:line="240" w:lineRule="auto"/>
        <w:jc w:val="center"/>
        <w:rPr>
          <w:rFonts w:ascii="Times New Roman" w:eastAsia="Calibri" w:hAnsi="Times New Roman" w:cs="Times New Roman"/>
          <w:b/>
          <w:sz w:val="48"/>
        </w:rPr>
      </w:pPr>
    </w:p>
    <w:p w14:paraId="586306E0" w14:textId="6EEB2795" w:rsidR="0011083F" w:rsidRPr="0011083F" w:rsidRDefault="00215BD5" w:rsidP="0011083F">
      <w:pPr>
        <w:spacing w:after="0" w:line="240" w:lineRule="auto"/>
        <w:jc w:val="center"/>
        <w:rPr>
          <w:rFonts w:ascii="Times New Roman" w:eastAsia="Calibri" w:hAnsi="Times New Roman" w:cs="Times New Roman"/>
          <w:b/>
          <w:sz w:val="52"/>
        </w:rPr>
      </w:pPr>
      <w:r>
        <w:rPr>
          <w:rFonts w:ascii="Times New Roman" w:eastAsia="Calibri" w:hAnsi="Times New Roman" w:cs="Times New Roman"/>
          <w:b/>
          <w:sz w:val="52"/>
        </w:rPr>
        <w:t>Grievance Procedure</w:t>
      </w:r>
    </w:p>
    <w:p w14:paraId="6A0B9C82" w14:textId="77777777" w:rsidR="0011083F" w:rsidRPr="0011083F" w:rsidRDefault="0011083F" w:rsidP="0011083F">
      <w:pPr>
        <w:spacing w:after="0" w:line="240" w:lineRule="auto"/>
        <w:jc w:val="center"/>
        <w:rPr>
          <w:rFonts w:ascii="Times New Roman" w:eastAsia="Calibri" w:hAnsi="Times New Roman" w:cs="Times New Roman"/>
          <w:b/>
          <w:sz w:val="52"/>
        </w:rPr>
      </w:pPr>
    </w:p>
    <w:p w14:paraId="5A801EF6" w14:textId="77777777" w:rsidR="0011083F" w:rsidRPr="0011083F" w:rsidRDefault="0011083F" w:rsidP="0011083F">
      <w:pPr>
        <w:spacing w:after="0" w:line="240" w:lineRule="auto"/>
        <w:jc w:val="center"/>
        <w:rPr>
          <w:rFonts w:ascii="Times New Roman" w:eastAsia="Calibri" w:hAnsi="Times New Roman" w:cs="Times New Roman"/>
          <w:b/>
          <w:sz w:val="32"/>
          <w:u w:val="single"/>
        </w:rPr>
      </w:pPr>
      <w:r w:rsidRPr="0011083F">
        <w:rPr>
          <w:rFonts w:ascii="Times New Roman" w:eastAsia="Calibri" w:hAnsi="Times New Roman" w:cs="Times New Roman"/>
          <w:b/>
          <w:sz w:val="32"/>
        </w:rPr>
        <w:t xml:space="preserve">Adopted: </w:t>
      </w:r>
      <w:r w:rsidRPr="0011083F">
        <w:rPr>
          <w:rFonts w:ascii="Times New Roman" w:eastAsia="Calibri" w:hAnsi="Times New Roman" w:cs="Times New Roman"/>
          <w:b/>
          <w:sz w:val="32"/>
          <w:u w:val="single"/>
        </w:rPr>
        <w:t xml:space="preserve">                _</w:t>
      </w:r>
    </w:p>
    <w:p w14:paraId="70BAAC99" w14:textId="0030A740" w:rsidR="0011083F" w:rsidRDefault="0011083F" w:rsidP="0011083F">
      <w:pPr>
        <w:jc w:val="center"/>
        <w:rPr>
          <w:rFonts w:ascii="Times New Roman" w:eastAsia="Calibri" w:hAnsi="Times New Roman" w:cs="Times New Roman"/>
          <w:b/>
          <w:sz w:val="32"/>
        </w:rPr>
      </w:pPr>
      <w:r w:rsidRPr="0011083F">
        <w:rPr>
          <w:rFonts w:ascii="Times New Roman" w:eastAsia="Calibri" w:hAnsi="Times New Roman" w:cs="Times New Roman"/>
          <w:b/>
          <w:sz w:val="32"/>
        </w:rPr>
        <w:t xml:space="preserve">Resolution: </w:t>
      </w:r>
      <w:r w:rsidRPr="0011083F">
        <w:rPr>
          <w:rFonts w:ascii="Times New Roman" w:eastAsia="Calibri" w:hAnsi="Times New Roman" w:cs="Times New Roman"/>
          <w:b/>
          <w:sz w:val="32"/>
          <w:u w:val="single"/>
        </w:rPr>
        <w:t xml:space="preserve">                </w:t>
      </w:r>
      <w:r w:rsidRPr="0011083F">
        <w:rPr>
          <w:rFonts w:ascii="Times New Roman" w:eastAsia="Calibri" w:hAnsi="Times New Roman" w:cs="Times New Roman"/>
          <w:b/>
          <w:sz w:val="32"/>
        </w:rPr>
        <w:t>_</w:t>
      </w:r>
    </w:p>
    <w:p w14:paraId="6DCE805A" w14:textId="77777777" w:rsidR="000A019C" w:rsidRDefault="000A019C" w:rsidP="0011083F">
      <w:pPr>
        <w:jc w:val="center"/>
        <w:rPr>
          <w:rFonts w:ascii="Times New Roman" w:hAnsi="Times New Roman" w:cs="Times New Roman"/>
          <w:sz w:val="24"/>
        </w:rPr>
        <w:sectPr w:rsidR="000A019C" w:rsidSect="000A019C">
          <w:footerReference w:type="default" r:id="rId8"/>
          <w:headerReference w:type="first" r:id="rId9"/>
          <w:footerReference w:type="first" r:id="rId10"/>
          <w:pgSz w:w="12240" w:h="15840"/>
          <w:pgMar w:top="1440" w:right="1440" w:bottom="1440" w:left="1440" w:header="720" w:footer="720" w:gutter="0"/>
          <w:pgNumType w:fmt="lowerRoman" w:start="1"/>
          <w:cols w:space="720"/>
          <w:docGrid w:linePitch="360"/>
        </w:sectPr>
      </w:pPr>
    </w:p>
    <w:sdt>
      <w:sdtPr>
        <w:rPr>
          <w:rFonts w:asciiTheme="minorHAnsi" w:hAnsiTheme="minorHAnsi" w:cstheme="minorBidi"/>
          <w:b w:val="0"/>
          <w:sz w:val="22"/>
          <w:szCs w:val="22"/>
        </w:rPr>
        <w:id w:val="752931122"/>
        <w:docPartObj>
          <w:docPartGallery w:val="Table of Contents"/>
          <w:docPartUnique/>
        </w:docPartObj>
      </w:sdtPr>
      <w:sdtEndPr>
        <w:rPr>
          <w:bCs/>
          <w:noProof/>
        </w:rPr>
      </w:sdtEndPr>
      <w:sdtContent>
        <w:p w14:paraId="6CC71070" w14:textId="1C9EE2D1" w:rsidR="005C7189" w:rsidRPr="007B43BF" w:rsidRDefault="005C7189" w:rsidP="00720895">
          <w:pPr>
            <w:pStyle w:val="TOCHeading"/>
            <w:numPr>
              <w:ilvl w:val="0"/>
              <w:numId w:val="0"/>
            </w:numPr>
            <w:contextualSpacing w:val="0"/>
            <w:jc w:val="center"/>
            <w:rPr>
              <w:u w:val="single"/>
            </w:rPr>
          </w:pPr>
          <w:r w:rsidRPr="007B43BF">
            <w:rPr>
              <w:u w:val="single"/>
            </w:rPr>
            <w:t>Table of Contents</w:t>
          </w:r>
        </w:p>
        <w:p w14:paraId="66BFF4D8" w14:textId="77777777" w:rsidR="007B43BF" w:rsidRDefault="007B43BF" w:rsidP="00720895">
          <w:pPr>
            <w:pStyle w:val="TOC1"/>
            <w:tabs>
              <w:tab w:val="left" w:pos="480"/>
              <w:tab w:val="right" w:leader="dot" w:pos="9350"/>
            </w:tabs>
            <w:spacing w:after="0" w:line="240" w:lineRule="auto"/>
            <w:rPr>
              <w:rFonts w:ascii="Times New Roman" w:hAnsi="Times New Roman" w:cs="Times New Roman"/>
              <w:sz w:val="24"/>
              <w:szCs w:val="24"/>
            </w:rPr>
          </w:pPr>
        </w:p>
        <w:p w14:paraId="4B9B07E8" w14:textId="56DDF316" w:rsidR="00693E5D" w:rsidRPr="00693E5D" w:rsidRDefault="005C7189" w:rsidP="00693E5D">
          <w:pPr>
            <w:pStyle w:val="TOC1"/>
            <w:tabs>
              <w:tab w:val="left" w:pos="720"/>
              <w:tab w:val="right" w:leader="dot" w:pos="9350"/>
            </w:tabs>
            <w:jc w:val="both"/>
            <w:rPr>
              <w:rFonts w:ascii="Times New Roman" w:eastAsiaTheme="minorEastAsia" w:hAnsi="Times New Roman" w:cs="Times New Roman"/>
              <w:noProof/>
              <w:kern w:val="2"/>
              <w:sz w:val="24"/>
              <w:szCs w:val="24"/>
              <w14:ligatures w14:val="standardContextual"/>
            </w:rPr>
          </w:pPr>
          <w:r w:rsidRPr="00693E5D">
            <w:rPr>
              <w:rFonts w:ascii="Times New Roman" w:hAnsi="Times New Roman" w:cs="Times New Roman"/>
              <w:sz w:val="24"/>
              <w:szCs w:val="24"/>
            </w:rPr>
            <w:fldChar w:fldCharType="begin"/>
          </w:r>
          <w:r w:rsidRPr="00693E5D">
            <w:rPr>
              <w:rFonts w:ascii="Times New Roman" w:hAnsi="Times New Roman" w:cs="Times New Roman"/>
              <w:sz w:val="24"/>
              <w:szCs w:val="24"/>
            </w:rPr>
            <w:instrText xml:space="preserve"> TOC \o "1-3" \h \z \u </w:instrText>
          </w:r>
          <w:r w:rsidRPr="00693E5D">
            <w:rPr>
              <w:rFonts w:ascii="Times New Roman" w:hAnsi="Times New Roman" w:cs="Times New Roman"/>
              <w:sz w:val="24"/>
              <w:szCs w:val="24"/>
            </w:rPr>
            <w:fldChar w:fldCharType="separate"/>
          </w:r>
          <w:hyperlink w:anchor="_Toc181202722" w:history="1">
            <w:r w:rsidR="00693E5D" w:rsidRPr="00693E5D">
              <w:rPr>
                <w:rStyle w:val="Hyperlink"/>
                <w:rFonts w:ascii="Times New Roman" w:hAnsi="Times New Roman" w:cs="Times New Roman"/>
                <w:noProof/>
                <w:sz w:val="24"/>
                <w:szCs w:val="24"/>
              </w:rPr>
              <w:t>I.</w:t>
            </w:r>
            <w:r w:rsidR="00693E5D" w:rsidRPr="00693E5D">
              <w:rPr>
                <w:rFonts w:ascii="Times New Roman" w:eastAsiaTheme="minorEastAsia" w:hAnsi="Times New Roman" w:cs="Times New Roman"/>
                <w:noProof/>
                <w:kern w:val="2"/>
                <w:sz w:val="24"/>
                <w:szCs w:val="24"/>
                <w14:ligatures w14:val="standardContextual"/>
              </w:rPr>
              <w:tab/>
            </w:r>
            <w:r w:rsidR="00693E5D" w:rsidRPr="00693E5D">
              <w:rPr>
                <w:rStyle w:val="Hyperlink"/>
                <w:rFonts w:ascii="Times New Roman" w:hAnsi="Times New Roman" w:cs="Times New Roman"/>
                <w:noProof/>
                <w:sz w:val="24"/>
                <w:szCs w:val="24"/>
              </w:rPr>
              <w:t>Introduction</w:t>
            </w:r>
            <w:r w:rsidR="00693E5D" w:rsidRPr="00693E5D">
              <w:rPr>
                <w:rFonts w:ascii="Times New Roman" w:hAnsi="Times New Roman" w:cs="Times New Roman"/>
                <w:noProof/>
                <w:webHidden/>
                <w:sz w:val="24"/>
                <w:szCs w:val="24"/>
              </w:rPr>
              <w:tab/>
            </w:r>
            <w:r w:rsidR="00693E5D" w:rsidRPr="00693E5D">
              <w:rPr>
                <w:rFonts w:ascii="Times New Roman" w:hAnsi="Times New Roman" w:cs="Times New Roman"/>
                <w:noProof/>
                <w:webHidden/>
                <w:sz w:val="24"/>
                <w:szCs w:val="24"/>
              </w:rPr>
              <w:fldChar w:fldCharType="begin"/>
            </w:r>
            <w:r w:rsidR="00693E5D" w:rsidRPr="00693E5D">
              <w:rPr>
                <w:rFonts w:ascii="Times New Roman" w:hAnsi="Times New Roman" w:cs="Times New Roman"/>
                <w:noProof/>
                <w:webHidden/>
                <w:sz w:val="24"/>
                <w:szCs w:val="24"/>
              </w:rPr>
              <w:instrText xml:space="preserve"> PAGEREF _Toc181202722 \h </w:instrText>
            </w:r>
            <w:r w:rsidR="00693E5D" w:rsidRPr="00693E5D">
              <w:rPr>
                <w:rFonts w:ascii="Times New Roman" w:hAnsi="Times New Roman" w:cs="Times New Roman"/>
                <w:noProof/>
                <w:webHidden/>
                <w:sz w:val="24"/>
                <w:szCs w:val="24"/>
              </w:rPr>
            </w:r>
            <w:r w:rsidR="00693E5D" w:rsidRPr="00693E5D">
              <w:rPr>
                <w:rFonts w:ascii="Times New Roman" w:hAnsi="Times New Roman" w:cs="Times New Roman"/>
                <w:noProof/>
                <w:webHidden/>
                <w:sz w:val="24"/>
                <w:szCs w:val="24"/>
              </w:rPr>
              <w:fldChar w:fldCharType="separate"/>
            </w:r>
            <w:r w:rsidR="000773AC">
              <w:rPr>
                <w:rFonts w:ascii="Times New Roman" w:hAnsi="Times New Roman" w:cs="Times New Roman"/>
                <w:noProof/>
                <w:webHidden/>
                <w:sz w:val="24"/>
                <w:szCs w:val="24"/>
              </w:rPr>
              <w:t>1</w:t>
            </w:r>
            <w:r w:rsidR="00693E5D" w:rsidRPr="00693E5D">
              <w:rPr>
                <w:rFonts w:ascii="Times New Roman" w:hAnsi="Times New Roman" w:cs="Times New Roman"/>
                <w:noProof/>
                <w:webHidden/>
                <w:sz w:val="24"/>
                <w:szCs w:val="24"/>
              </w:rPr>
              <w:fldChar w:fldCharType="end"/>
            </w:r>
          </w:hyperlink>
        </w:p>
        <w:p w14:paraId="158B1EB5" w14:textId="7AFCE824" w:rsidR="00693E5D" w:rsidRPr="00693E5D" w:rsidRDefault="000773AC" w:rsidP="00693E5D">
          <w:pPr>
            <w:pStyle w:val="TOC1"/>
            <w:tabs>
              <w:tab w:val="left" w:pos="720"/>
              <w:tab w:val="right" w:leader="dot" w:pos="9350"/>
            </w:tabs>
            <w:jc w:val="both"/>
            <w:rPr>
              <w:rFonts w:ascii="Times New Roman" w:eastAsiaTheme="minorEastAsia" w:hAnsi="Times New Roman" w:cs="Times New Roman"/>
              <w:noProof/>
              <w:kern w:val="2"/>
              <w:sz w:val="24"/>
              <w:szCs w:val="24"/>
              <w14:ligatures w14:val="standardContextual"/>
            </w:rPr>
          </w:pPr>
          <w:hyperlink w:anchor="_Toc181202723" w:history="1">
            <w:r w:rsidR="00693E5D" w:rsidRPr="00693E5D">
              <w:rPr>
                <w:rStyle w:val="Hyperlink"/>
                <w:rFonts w:ascii="Times New Roman" w:hAnsi="Times New Roman" w:cs="Times New Roman"/>
                <w:noProof/>
                <w:sz w:val="24"/>
                <w:szCs w:val="24"/>
              </w:rPr>
              <w:t>II.</w:t>
            </w:r>
            <w:r w:rsidR="00693E5D" w:rsidRPr="00693E5D">
              <w:rPr>
                <w:rFonts w:ascii="Times New Roman" w:eastAsiaTheme="minorEastAsia" w:hAnsi="Times New Roman" w:cs="Times New Roman"/>
                <w:noProof/>
                <w:kern w:val="2"/>
                <w:sz w:val="24"/>
                <w:szCs w:val="24"/>
                <w14:ligatures w14:val="standardContextual"/>
              </w:rPr>
              <w:tab/>
            </w:r>
            <w:r w:rsidR="00693E5D" w:rsidRPr="00693E5D">
              <w:rPr>
                <w:rStyle w:val="Hyperlink"/>
                <w:rFonts w:ascii="Times New Roman" w:hAnsi="Times New Roman" w:cs="Times New Roman"/>
                <w:noProof/>
                <w:sz w:val="24"/>
                <w:szCs w:val="24"/>
              </w:rPr>
              <w:t>Applicability</w:t>
            </w:r>
            <w:r w:rsidR="00693E5D" w:rsidRPr="00693E5D">
              <w:rPr>
                <w:rFonts w:ascii="Times New Roman" w:hAnsi="Times New Roman" w:cs="Times New Roman"/>
                <w:noProof/>
                <w:webHidden/>
                <w:sz w:val="24"/>
                <w:szCs w:val="24"/>
              </w:rPr>
              <w:tab/>
            </w:r>
            <w:r w:rsidR="00693E5D" w:rsidRPr="00693E5D">
              <w:rPr>
                <w:rFonts w:ascii="Times New Roman" w:hAnsi="Times New Roman" w:cs="Times New Roman"/>
                <w:noProof/>
                <w:webHidden/>
                <w:sz w:val="24"/>
                <w:szCs w:val="24"/>
              </w:rPr>
              <w:fldChar w:fldCharType="begin"/>
            </w:r>
            <w:r w:rsidR="00693E5D" w:rsidRPr="00693E5D">
              <w:rPr>
                <w:rFonts w:ascii="Times New Roman" w:hAnsi="Times New Roman" w:cs="Times New Roman"/>
                <w:noProof/>
                <w:webHidden/>
                <w:sz w:val="24"/>
                <w:szCs w:val="24"/>
              </w:rPr>
              <w:instrText xml:space="preserve"> PAGEREF _Toc181202723 \h </w:instrText>
            </w:r>
            <w:r w:rsidR="00693E5D" w:rsidRPr="00693E5D">
              <w:rPr>
                <w:rFonts w:ascii="Times New Roman" w:hAnsi="Times New Roman" w:cs="Times New Roman"/>
                <w:noProof/>
                <w:webHidden/>
                <w:sz w:val="24"/>
                <w:szCs w:val="24"/>
              </w:rPr>
            </w:r>
            <w:r w:rsidR="00693E5D" w:rsidRPr="00693E5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00693E5D" w:rsidRPr="00693E5D">
              <w:rPr>
                <w:rFonts w:ascii="Times New Roman" w:hAnsi="Times New Roman" w:cs="Times New Roman"/>
                <w:noProof/>
                <w:webHidden/>
                <w:sz w:val="24"/>
                <w:szCs w:val="24"/>
              </w:rPr>
              <w:fldChar w:fldCharType="end"/>
            </w:r>
          </w:hyperlink>
        </w:p>
        <w:p w14:paraId="1525CDEA" w14:textId="081ABD76" w:rsidR="00693E5D" w:rsidRPr="00693E5D" w:rsidRDefault="000773AC" w:rsidP="00693E5D">
          <w:pPr>
            <w:pStyle w:val="TOC1"/>
            <w:tabs>
              <w:tab w:val="left" w:pos="720"/>
              <w:tab w:val="right" w:leader="dot" w:pos="9350"/>
            </w:tabs>
            <w:jc w:val="both"/>
            <w:rPr>
              <w:rFonts w:ascii="Times New Roman" w:eastAsiaTheme="minorEastAsia" w:hAnsi="Times New Roman" w:cs="Times New Roman"/>
              <w:noProof/>
              <w:kern w:val="2"/>
              <w:sz w:val="24"/>
              <w:szCs w:val="24"/>
              <w14:ligatures w14:val="standardContextual"/>
            </w:rPr>
          </w:pPr>
          <w:hyperlink w:anchor="_Toc181202724" w:history="1">
            <w:r w:rsidR="00693E5D" w:rsidRPr="00693E5D">
              <w:rPr>
                <w:rStyle w:val="Hyperlink"/>
                <w:rFonts w:ascii="Times New Roman" w:hAnsi="Times New Roman" w:cs="Times New Roman"/>
                <w:noProof/>
                <w:sz w:val="24"/>
                <w:szCs w:val="24"/>
              </w:rPr>
              <w:t>III.</w:t>
            </w:r>
            <w:r w:rsidR="00693E5D" w:rsidRPr="00693E5D">
              <w:rPr>
                <w:rFonts w:ascii="Times New Roman" w:eastAsiaTheme="minorEastAsia" w:hAnsi="Times New Roman" w:cs="Times New Roman"/>
                <w:noProof/>
                <w:kern w:val="2"/>
                <w:sz w:val="24"/>
                <w:szCs w:val="24"/>
                <w14:ligatures w14:val="standardContextual"/>
              </w:rPr>
              <w:tab/>
            </w:r>
            <w:r w:rsidR="00693E5D" w:rsidRPr="00693E5D">
              <w:rPr>
                <w:rStyle w:val="Hyperlink"/>
                <w:rFonts w:ascii="Times New Roman" w:hAnsi="Times New Roman" w:cs="Times New Roman"/>
                <w:noProof/>
                <w:sz w:val="24"/>
                <w:szCs w:val="24"/>
              </w:rPr>
              <w:t>Informal Proceeding</w:t>
            </w:r>
            <w:r w:rsidR="00693E5D" w:rsidRPr="00693E5D">
              <w:rPr>
                <w:rFonts w:ascii="Times New Roman" w:hAnsi="Times New Roman" w:cs="Times New Roman"/>
                <w:noProof/>
                <w:webHidden/>
                <w:sz w:val="24"/>
                <w:szCs w:val="24"/>
              </w:rPr>
              <w:tab/>
            </w:r>
            <w:r w:rsidR="00693E5D" w:rsidRPr="00693E5D">
              <w:rPr>
                <w:rFonts w:ascii="Times New Roman" w:hAnsi="Times New Roman" w:cs="Times New Roman"/>
                <w:noProof/>
                <w:webHidden/>
                <w:sz w:val="24"/>
                <w:szCs w:val="24"/>
              </w:rPr>
              <w:fldChar w:fldCharType="begin"/>
            </w:r>
            <w:r w:rsidR="00693E5D" w:rsidRPr="00693E5D">
              <w:rPr>
                <w:rFonts w:ascii="Times New Roman" w:hAnsi="Times New Roman" w:cs="Times New Roman"/>
                <w:noProof/>
                <w:webHidden/>
                <w:sz w:val="24"/>
                <w:szCs w:val="24"/>
              </w:rPr>
              <w:instrText xml:space="preserve"> PAGEREF _Toc181202724 \h </w:instrText>
            </w:r>
            <w:r w:rsidR="00693E5D" w:rsidRPr="00693E5D">
              <w:rPr>
                <w:rFonts w:ascii="Times New Roman" w:hAnsi="Times New Roman" w:cs="Times New Roman"/>
                <w:noProof/>
                <w:webHidden/>
                <w:sz w:val="24"/>
                <w:szCs w:val="24"/>
              </w:rPr>
            </w:r>
            <w:r w:rsidR="00693E5D" w:rsidRPr="00693E5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00693E5D" w:rsidRPr="00693E5D">
              <w:rPr>
                <w:rFonts w:ascii="Times New Roman" w:hAnsi="Times New Roman" w:cs="Times New Roman"/>
                <w:noProof/>
                <w:webHidden/>
                <w:sz w:val="24"/>
                <w:szCs w:val="24"/>
              </w:rPr>
              <w:fldChar w:fldCharType="end"/>
            </w:r>
          </w:hyperlink>
        </w:p>
        <w:p w14:paraId="66593A69" w14:textId="1511A253" w:rsidR="00693E5D" w:rsidRPr="00693E5D" w:rsidRDefault="000773AC" w:rsidP="00693E5D">
          <w:pPr>
            <w:pStyle w:val="TOC1"/>
            <w:tabs>
              <w:tab w:val="left" w:pos="720"/>
              <w:tab w:val="right" w:leader="dot" w:pos="9350"/>
            </w:tabs>
            <w:jc w:val="both"/>
            <w:rPr>
              <w:rFonts w:ascii="Times New Roman" w:eastAsiaTheme="minorEastAsia" w:hAnsi="Times New Roman" w:cs="Times New Roman"/>
              <w:noProof/>
              <w:kern w:val="2"/>
              <w:sz w:val="24"/>
              <w:szCs w:val="24"/>
              <w14:ligatures w14:val="standardContextual"/>
            </w:rPr>
          </w:pPr>
          <w:hyperlink w:anchor="_Toc181202725" w:history="1">
            <w:r w:rsidR="00693E5D" w:rsidRPr="00693E5D">
              <w:rPr>
                <w:rStyle w:val="Hyperlink"/>
                <w:rFonts w:ascii="Times New Roman" w:hAnsi="Times New Roman" w:cs="Times New Roman"/>
                <w:noProof/>
                <w:sz w:val="24"/>
                <w:szCs w:val="24"/>
              </w:rPr>
              <w:t>IV.</w:t>
            </w:r>
            <w:r w:rsidR="00693E5D" w:rsidRPr="00693E5D">
              <w:rPr>
                <w:rFonts w:ascii="Times New Roman" w:eastAsiaTheme="minorEastAsia" w:hAnsi="Times New Roman" w:cs="Times New Roman"/>
                <w:noProof/>
                <w:kern w:val="2"/>
                <w:sz w:val="24"/>
                <w:szCs w:val="24"/>
                <w14:ligatures w14:val="standardContextual"/>
              </w:rPr>
              <w:tab/>
            </w:r>
            <w:r w:rsidR="00693E5D" w:rsidRPr="00693E5D">
              <w:rPr>
                <w:rStyle w:val="Hyperlink"/>
                <w:rFonts w:ascii="Times New Roman" w:hAnsi="Times New Roman" w:cs="Times New Roman"/>
                <w:noProof/>
                <w:sz w:val="24"/>
                <w:szCs w:val="24"/>
              </w:rPr>
              <w:t>Formal Hearing</w:t>
            </w:r>
            <w:r w:rsidR="00693E5D" w:rsidRPr="00693E5D">
              <w:rPr>
                <w:rFonts w:ascii="Times New Roman" w:hAnsi="Times New Roman" w:cs="Times New Roman"/>
                <w:noProof/>
                <w:webHidden/>
                <w:sz w:val="24"/>
                <w:szCs w:val="24"/>
              </w:rPr>
              <w:tab/>
            </w:r>
            <w:r w:rsidR="00693E5D" w:rsidRPr="00693E5D">
              <w:rPr>
                <w:rFonts w:ascii="Times New Roman" w:hAnsi="Times New Roman" w:cs="Times New Roman"/>
                <w:noProof/>
                <w:webHidden/>
                <w:sz w:val="24"/>
                <w:szCs w:val="24"/>
              </w:rPr>
              <w:fldChar w:fldCharType="begin"/>
            </w:r>
            <w:r w:rsidR="00693E5D" w:rsidRPr="00693E5D">
              <w:rPr>
                <w:rFonts w:ascii="Times New Roman" w:hAnsi="Times New Roman" w:cs="Times New Roman"/>
                <w:noProof/>
                <w:webHidden/>
                <w:sz w:val="24"/>
                <w:szCs w:val="24"/>
              </w:rPr>
              <w:instrText xml:space="preserve"> PAGEREF _Toc181202725 \h </w:instrText>
            </w:r>
            <w:r w:rsidR="00693E5D" w:rsidRPr="00693E5D">
              <w:rPr>
                <w:rFonts w:ascii="Times New Roman" w:hAnsi="Times New Roman" w:cs="Times New Roman"/>
                <w:noProof/>
                <w:webHidden/>
                <w:sz w:val="24"/>
                <w:szCs w:val="24"/>
              </w:rPr>
            </w:r>
            <w:r w:rsidR="00693E5D" w:rsidRPr="00693E5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00693E5D" w:rsidRPr="00693E5D">
              <w:rPr>
                <w:rFonts w:ascii="Times New Roman" w:hAnsi="Times New Roman" w:cs="Times New Roman"/>
                <w:noProof/>
                <w:webHidden/>
                <w:sz w:val="24"/>
                <w:szCs w:val="24"/>
              </w:rPr>
              <w:fldChar w:fldCharType="end"/>
            </w:r>
          </w:hyperlink>
        </w:p>
        <w:p w14:paraId="0822B506" w14:textId="1E2121AF" w:rsidR="00693E5D" w:rsidRPr="00693E5D" w:rsidRDefault="000773AC" w:rsidP="00693E5D">
          <w:pPr>
            <w:pStyle w:val="TOC1"/>
            <w:tabs>
              <w:tab w:val="left" w:pos="720"/>
              <w:tab w:val="right" w:leader="dot" w:pos="9350"/>
            </w:tabs>
            <w:jc w:val="both"/>
            <w:rPr>
              <w:rFonts w:ascii="Times New Roman" w:eastAsiaTheme="minorEastAsia" w:hAnsi="Times New Roman" w:cs="Times New Roman"/>
              <w:noProof/>
              <w:kern w:val="2"/>
              <w:sz w:val="24"/>
              <w:szCs w:val="24"/>
              <w14:ligatures w14:val="standardContextual"/>
            </w:rPr>
          </w:pPr>
          <w:hyperlink w:anchor="_Toc181202726" w:history="1">
            <w:r w:rsidR="00693E5D" w:rsidRPr="00693E5D">
              <w:rPr>
                <w:rStyle w:val="Hyperlink"/>
                <w:rFonts w:ascii="Times New Roman" w:hAnsi="Times New Roman" w:cs="Times New Roman"/>
                <w:noProof/>
                <w:sz w:val="24"/>
                <w:szCs w:val="24"/>
              </w:rPr>
              <w:t>V.</w:t>
            </w:r>
            <w:r w:rsidR="00693E5D" w:rsidRPr="00693E5D">
              <w:rPr>
                <w:rFonts w:ascii="Times New Roman" w:eastAsiaTheme="minorEastAsia" w:hAnsi="Times New Roman" w:cs="Times New Roman"/>
                <w:noProof/>
                <w:kern w:val="2"/>
                <w:sz w:val="24"/>
                <w:szCs w:val="24"/>
                <w14:ligatures w14:val="standardContextual"/>
              </w:rPr>
              <w:tab/>
            </w:r>
            <w:r w:rsidR="00693E5D" w:rsidRPr="00693E5D">
              <w:rPr>
                <w:rStyle w:val="Hyperlink"/>
                <w:rFonts w:ascii="Times New Roman" w:hAnsi="Times New Roman" w:cs="Times New Roman"/>
                <w:noProof/>
                <w:sz w:val="24"/>
                <w:szCs w:val="24"/>
              </w:rPr>
              <w:t>Implementation</w:t>
            </w:r>
            <w:r w:rsidR="00693E5D" w:rsidRPr="00693E5D">
              <w:rPr>
                <w:rFonts w:ascii="Times New Roman" w:hAnsi="Times New Roman" w:cs="Times New Roman"/>
                <w:noProof/>
                <w:webHidden/>
                <w:sz w:val="24"/>
                <w:szCs w:val="24"/>
              </w:rPr>
              <w:tab/>
            </w:r>
            <w:r w:rsidR="00693E5D" w:rsidRPr="00693E5D">
              <w:rPr>
                <w:rFonts w:ascii="Times New Roman" w:hAnsi="Times New Roman" w:cs="Times New Roman"/>
                <w:noProof/>
                <w:webHidden/>
                <w:sz w:val="24"/>
                <w:szCs w:val="24"/>
              </w:rPr>
              <w:fldChar w:fldCharType="begin"/>
            </w:r>
            <w:r w:rsidR="00693E5D" w:rsidRPr="00693E5D">
              <w:rPr>
                <w:rFonts w:ascii="Times New Roman" w:hAnsi="Times New Roman" w:cs="Times New Roman"/>
                <w:noProof/>
                <w:webHidden/>
                <w:sz w:val="24"/>
                <w:szCs w:val="24"/>
              </w:rPr>
              <w:instrText xml:space="preserve"> PAGEREF _Toc181202726 \h </w:instrText>
            </w:r>
            <w:r w:rsidR="00693E5D" w:rsidRPr="00693E5D">
              <w:rPr>
                <w:rFonts w:ascii="Times New Roman" w:hAnsi="Times New Roman" w:cs="Times New Roman"/>
                <w:noProof/>
                <w:webHidden/>
                <w:sz w:val="24"/>
                <w:szCs w:val="24"/>
              </w:rPr>
            </w:r>
            <w:r w:rsidR="00693E5D" w:rsidRPr="00693E5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693E5D" w:rsidRPr="00693E5D">
              <w:rPr>
                <w:rFonts w:ascii="Times New Roman" w:hAnsi="Times New Roman" w:cs="Times New Roman"/>
                <w:noProof/>
                <w:webHidden/>
                <w:sz w:val="24"/>
                <w:szCs w:val="24"/>
              </w:rPr>
              <w:fldChar w:fldCharType="end"/>
            </w:r>
          </w:hyperlink>
        </w:p>
        <w:p w14:paraId="368769B8" w14:textId="0080AFB2" w:rsidR="00693E5D" w:rsidRPr="00693E5D" w:rsidRDefault="000773AC" w:rsidP="00693E5D">
          <w:pPr>
            <w:pStyle w:val="TOC1"/>
            <w:tabs>
              <w:tab w:val="left" w:pos="720"/>
              <w:tab w:val="right" w:leader="dot" w:pos="9350"/>
            </w:tabs>
            <w:jc w:val="both"/>
            <w:rPr>
              <w:rFonts w:ascii="Times New Roman" w:eastAsiaTheme="minorEastAsia" w:hAnsi="Times New Roman" w:cs="Times New Roman"/>
              <w:noProof/>
              <w:kern w:val="2"/>
              <w:sz w:val="24"/>
              <w:szCs w:val="24"/>
              <w14:ligatures w14:val="standardContextual"/>
            </w:rPr>
          </w:pPr>
          <w:hyperlink w:anchor="_Toc181202727" w:history="1">
            <w:r w:rsidR="00693E5D" w:rsidRPr="00693E5D">
              <w:rPr>
                <w:rStyle w:val="Hyperlink"/>
                <w:rFonts w:ascii="Times New Roman" w:hAnsi="Times New Roman" w:cs="Times New Roman"/>
                <w:noProof/>
                <w:sz w:val="24"/>
                <w:szCs w:val="24"/>
              </w:rPr>
              <w:t>VI.</w:t>
            </w:r>
            <w:r w:rsidR="00693E5D" w:rsidRPr="00693E5D">
              <w:rPr>
                <w:rFonts w:ascii="Times New Roman" w:eastAsiaTheme="minorEastAsia" w:hAnsi="Times New Roman" w:cs="Times New Roman"/>
                <w:noProof/>
                <w:kern w:val="2"/>
                <w:sz w:val="24"/>
                <w:szCs w:val="24"/>
                <w14:ligatures w14:val="standardContextual"/>
              </w:rPr>
              <w:tab/>
            </w:r>
            <w:r w:rsidR="00693E5D" w:rsidRPr="00693E5D">
              <w:rPr>
                <w:rStyle w:val="Hyperlink"/>
                <w:rFonts w:ascii="Times New Roman" w:hAnsi="Times New Roman" w:cs="Times New Roman"/>
                <w:noProof/>
                <w:sz w:val="24"/>
                <w:szCs w:val="24"/>
              </w:rPr>
              <w:t>Amendments and Revisions</w:t>
            </w:r>
            <w:r w:rsidR="00693E5D" w:rsidRPr="00693E5D">
              <w:rPr>
                <w:rFonts w:ascii="Times New Roman" w:hAnsi="Times New Roman" w:cs="Times New Roman"/>
                <w:noProof/>
                <w:webHidden/>
                <w:sz w:val="24"/>
                <w:szCs w:val="24"/>
              </w:rPr>
              <w:tab/>
            </w:r>
            <w:r w:rsidR="00693E5D" w:rsidRPr="00693E5D">
              <w:rPr>
                <w:rFonts w:ascii="Times New Roman" w:hAnsi="Times New Roman" w:cs="Times New Roman"/>
                <w:noProof/>
                <w:webHidden/>
                <w:sz w:val="24"/>
                <w:szCs w:val="24"/>
              </w:rPr>
              <w:fldChar w:fldCharType="begin"/>
            </w:r>
            <w:r w:rsidR="00693E5D" w:rsidRPr="00693E5D">
              <w:rPr>
                <w:rFonts w:ascii="Times New Roman" w:hAnsi="Times New Roman" w:cs="Times New Roman"/>
                <w:noProof/>
                <w:webHidden/>
                <w:sz w:val="24"/>
                <w:szCs w:val="24"/>
              </w:rPr>
              <w:instrText xml:space="preserve"> PAGEREF _Toc181202727 \h </w:instrText>
            </w:r>
            <w:r w:rsidR="00693E5D" w:rsidRPr="00693E5D">
              <w:rPr>
                <w:rFonts w:ascii="Times New Roman" w:hAnsi="Times New Roman" w:cs="Times New Roman"/>
                <w:noProof/>
                <w:webHidden/>
                <w:sz w:val="24"/>
                <w:szCs w:val="24"/>
              </w:rPr>
            </w:r>
            <w:r w:rsidR="00693E5D" w:rsidRPr="00693E5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693E5D" w:rsidRPr="00693E5D">
              <w:rPr>
                <w:rFonts w:ascii="Times New Roman" w:hAnsi="Times New Roman" w:cs="Times New Roman"/>
                <w:noProof/>
                <w:webHidden/>
                <w:sz w:val="24"/>
                <w:szCs w:val="24"/>
              </w:rPr>
              <w:fldChar w:fldCharType="end"/>
            </w:r>
          </w:hyperlink>
        </w:p>
        <w:p w14:paraId="0AF5D951" w14:textId="03EF76B6" w:rsidR="005C7189" w:rsidRDefault="005C7189" w:rsidP="00693E5D">
          <w:pPr>
            <w:tabs>
              <w:tab w:val="left" w:pos="720"/>
            </w:tabs>
            <w:spacing w:after="0" w:line="240" w:lineRule="auto"/>
            <w:jc w:val="both"/>
            <w:rPr>
              <w:rFonts w:ascii="Times New Roman" w:hAnsi="Times New Roman" w:cs="Times New Roman"/>
              <w:sz w:val="28"/>
              <w:szCs w:val="24"/>
            </w:rPr>
          </w:pPr>
          <w:r w:rsidRPr="00693E5D">
            <w:rPr>
              <w:rFonts w:ascii="Times New Roman" w:hAnsi="Times New Roman" w:cs="Times New Roman"/>
              <w:b/>
              <w:bCs/>
              <w:noProof/>
              <w:sz w:val="24"/>
              <w:szCs w:val="24"/>
            </w:rPr>
            <w:fldChar w:fldCharType="end"/>
          </w:r>
        </w:p>
      </w:sdtContent>
    </w:sdt>
    <w:p w14:paraId="240DA76C" w14:textId="77777777" w:rsidR="005C7189" w:rsidRDefault="005C7189" w:rsidP="005C7189">
      <w:pPr>
        <w:spacing w:after="0" w:line="240" w:lineRule="auto"/>
        <w:jc w:val="both"/>
        <w:rPr>
          <w:rFonts w:ascii="Times New Roman" w:hAnsi="Times New Roman" w:cs="Times New Roman"/>
          <w:sz w:val="28"/>
          <w:szCs w:val="24"/>
        </w:rPr>
      </w:pPr>
    </w:p>
    <w:p w14:paraId="040239F5" w14:textId="03CD6164" w:rsidR="005C7189" w:rsidRDefault="005C7189" w:rsidP="005C7189">
      <w:pPr>
        <w:spacing w:after="0" w:line="240" w:lineRule="auto"/>
        <w:jc w:val="both"/>
        <w:rPr>
          <w:rFonts w:ascii="Times New Roman" w:hAnsi="Times New Roman" w:cs="Times New Roman"/>
          <w:sz w:val="28"/>
          <w:szCs w:val="24"/>
        </w:rPr>
        <w:sectPr w:rsidR="005C7189" w:rsidSect="000A019C">
          <w:headerReference w:type="default" r:id="rId11"/>
          <w:headerReference w:type="first" r:id="rId12"/>
          <w:footerReference w:type="first" r:id="rId13"/>
          <w:pgSz w:w="12240" w:h="15840"/>
          <w:pgMar w:top="1440" w:right="1440" w:bottom="1440" w:left="1440" w:header="720" w:footer="720" w:gutter="0"/>
          <w:pgNumType w:fmt="lowerRoman" w:start="1"/>
          <w:cols w:space="720"/>
          <w:docGrid w:linePitch="360"/>
        </w:sectPr>
      </w:pPr>
    </w:p>
    <w:p w14:paraId="7506A2F0" w14:textId="741653B2" w:rsidR="00D14BE1" w:rsidRPr="00F613CD" w:rsidRDefault="004A557D" w:rsidP="00F613CD">
      <w:pPr>
        <w:pStyle w:val="Heading1"/>
        <w:contextualSpacing w:val="0"/>
      </w:pPr>
      <w:bookmarkStart w:id="1" w:name="_Toc181202722"/>
      <w:r w:rsidRPr="00F613CD">
        <w:lastRenderedPageBreak/>
        <w:t>Introduction</w:t>
      </w:r>
      <w:bookmarkEnd w:id="1"/>
    </w:p>
    <w:p w14:paraId="368B38F4" w14:textId="41EAF4E8" w:rsidR="00A825C7" w:rsidRPr="00F613CD" w:rsidRDefault="00A825C7" w:rsidP="00F613CD">
      <w:pPr>
        <w:spacing w:after="0" w:line="240" w:lineRule="auto"/>
        <w:jc w:val="both"/>
        <w:rPr>
          <w:rFonts w:ascii="Times New Roman" w:hAnsi="Times New Roman" w:cs="Times New Roman"/>
          <w:sz w:val="24"/>
          <w:szCs w:val="24"/>
        </w:rPr>
      </w:pPr>
    </w:p>
    <w:p w14:paraId="77545D68" w14:textId="2F1164FC" w:rsidR="00574039" w:rsidRPr="00F613CD" w:rsidRDefault="00574039" w:rsidP="00F613CD">
      <w:pPr>
        <w:spacing w:after="0" w:line="240" w:lineRule="auto"/>
        <w:jc w:val="both"/>
        <w:rPr>
          <w:rFonts w:ascii="Times New Roman" w:eastAsia="Times New Roman" w:hAnsi="Times New Roman" w:cs="Times New Roman"/>
          <w:sz w:val="24"/>
          <w:szCs w:val="24"/>
        </w:rPr>
      </w:pPr>
      <w:r w:rsidRPr="00F613CD">
        <w:rPr>
          <w:rFonts w:ascii="Times New Roman" w:eastAsia="Times New Roman" w:hAnsi="Times New Roman" w:cs="Times New Roman"/>
          <w:sz w:val="24"/>
          <w:szCs w:val="24"/>
        </w:rPr>
        <w:t xml:space="preserve">The Housing Authority of the </w:t>
      </w:r>
      <w:r w:rsidR="00D035AA">
        <w:rPr>
          <w:rFonts w:ascii="Times New Roman" w:eastAsia="Times New Roman" w:hAnsi="Times New Roman" w:cs="Times New Roman"/>
          <w:sz w:val="24"/>
          <w:szCs w:val="24"/>
        </w:rPr>
        <w:t>Town of Harrison</w:t>
      </w:r>
      <w:r w:rsidRPr="00F613CD">
        <w:rPr>
          <w:rFonts w:ascii="Times New Roman" w:eastAsia="Times New Roman" w:hAnsi="Times New Roman" w:cs="Times New Roman"/>
          <w:sz w:val="24"/>
          <w:szCs w:val="24"/>
        </w:rPr>
        <w:t xml:space="preserve"> (“</w:t>
      </w:r>
      <w:r w:rsidR="007F04D8" w:rsidRPr="00F613CD">
        <w:rPr>
          <w:rFonts w:ascii="Times New Roman" w:eastAsia="Times New Roman" w:hAnsi="Times New Roman" w:cs="Times New Roman"/>
          <w:sz w:val="24"/>
          <w:szCs w:val="24"/>
        </w:rPr>
        <w:t>Housing Authority</w:t>
      </w:r>
      <w:r w:rsidRPr="00F613CD">
        <w:rPr>
          <w:rFonts w:ascii="Times New Roman" w:eastAsia="Times New Roman" w:hAnsi="Times New Roman" w:cs="Times New Roman"/>
          <w:sz w:val="24"/>
          <w:szCs w:val="24"/>
        </w:rPr>
        <w:t xml:space="preserve">”) is a public entity which provides decent, safe, and sanitary affordable housing to low-income families and seniors. It was created pursuant to State law by the </w:t>
      </w:r>
      <w:r w:rsidR="00D035AA">
        <w:rPr>
          <w:rFonts w:ascii="Times New Roman" w:eastAsia="Times New Roman" w:hAnsi="Times New Roman" w:cs="Times New Roman"/>
          <w:sz w:val="24"/>
          <w:szCs w:val="24"/>
        </w:rPr>
        <w:t>Town of Harrison</w:t>
      </w:r>
      <w:r w:rsidRPr="00F613CD">
        <w:rPr>
          <w:rFonts w:ascii="Times New Roman" w:eastAsia="Times New Roman" w:hAnsi="Times New Roman" w:cs="Times New Roman"/>
          <w:sz w:val="24"/>
          <w:szCs w:val="24"/>
        </w:rPr>
        <w:t xml:space="preserve"> and is funded by the U.S. Department of Housing and Urban Development (“HUD”). The </w:t>
      </w:r>
      <w:r w:rsidR="007F04D8" w:rsidRPr="00F613CD">
        <w:rPr>
          <w:rFonts w:ascii="Times New Roman" w:eastAsia="Times New Roman" w:hAnsi="Times New Roman" w:cs="Times New Roman"/>
          <w:sz w:val="24"/>
          <w:szCs w:val="24"/>
        </w:rPr>
        <w:t>Housing Authority</w:t>
      </w:r>
      <w:r w:rsidRPr="00F613CD">
        <w:rPr>
          <w:rFonts w:ascii="Times New Roman" w:eastAsia="Times New Roman" w:hAnsi="Times New Roman" w:cs="Times New Roman"/>
          <w:sz w:val="24"/>
          <w:szCs w:val="24"/>
        </w:rPr>
        <w:t xml:space="preserve"> is governed by an independent Board of Commissioners (“Board”).</w:t>
      </w:r>
    </w:p>
    <w:p w14:paraId="3CDDF747" w14:textId="77777777" w:rsidR="00574039" w:rsidRPr="00F613CD" w:rsidRDefault="00574039" w:rsidP="00F613CD">
      <w:pPr>
        <w:spacing w:after="0" w:line="240" w:lineRule="auto"/>
        <w:jc w:val="both"/>
        <w:rPr>
          <w:rFonts w:ascii="Times New Roman" w:hAnsi="Times New Roman" w:cs="Times New Roman"/>
          <w:sz w:val="24"/>
          <w:szCs w:val="24"/>
        </w:rPr>
      </w:pPr>
    </w:p>
    <w:p w14:paraId="5133E170" w14:textId="00493E2C" w:rsidR="00215BD5" w:rsidRPr="00F613CD" w:rsidRDefault="00AB3D4C" w:rsidP="00F613CD">
      <w:pPr>
        <w:spacing w:after="0" w:line="240" w:lineRule="auto"/>
        <w:jc w:val="both"/>
        <w:rPr>
          <w:rFonts w:ascii="Times New Roman" w:hAnsi="Times New Roman" w:cs="Times New Roman"/>
          <w:sz w:val="24"/>
          <w:szCs w:val="24"/>
        </w:rPr>
      </w:pPr>
      <w:r w:rsidRPr="00F613CD">
        <w:rPr>
          <w:rFonts w:ascii="Times New Roman" w:hAnsi="Times New Roman" w:cs="Times New Roman"/>
          <w:sz w:val="24"/>
          <w:szCs w:val="24"/>
        </w:rPr>
        <w:t xml:space="preserve">The </w:t>
      </w:r>
      <w:r w:rsidR="007F04D8" w:rsidRPr="00F613CD">
        <w:rPr>
          <w:rFonts w:ascii="Times New Roman" w:eastAsia="Times New Roman" w:hAnsi="Times New Roman" w:cs="Times New Roman"/>
          <w:sz w:val="24"/>
          <w:szCs w:val="24"/>
        </w:rPr>
        <w:t>Housing Authority</w:t>
      </w:r>
      <w:r w:rsidRPr="00F613CD">
        <w:rPr>
          <w:rFonts w:ascii="Times New Roman" w:hAnsi="Times New Roman" w:cs="Times New Roman"/>
          <w:sz w:val="24"/>
          <w:szCs w:val="24"/>
        </w:rPr>
        <w:t xml:space="preserve"> has </w:t>
      </w:r>
      <w:r w:rsidR="00215BD5">
        <w:rPr>
          <w:rFonts w:ascii="Times New Roman" w:hAnsi="Times New Roman" w:cs="Times New Roman"/>
          <w:sz w:val="24"/>
          <w:szCs w:val="24"/>
        </w:rPr>
        <w:t xml:space="preserve">established this Grievance Procedure </w:t>
      </w:r>
      <w:r w:rsidR="00215BD5" w:rsidRPr="00215BD5">
        <w:rPr>
          <w:rFonts w:ascii="Times New Roman" w:hAnsi="Times New Roman" w:cs="Times New Roman"/>
          <w:sz w:val="24"/>
          <w:szCs w:val="24"/>
        </w:rPr>
        <w:t xml:space="preserve">to assure that a </w:t>
      </w:r>
      <w:r w:rsidR="00215BD5">
        <w:rPr>
          <w:rFonts w:ascii="Times New Roman" w:hAnsi="Times New Roman" w:cs="Times New Roman"/>
          <w:sz w:val="24"/>
          <w:szCs w:val="24"/>
        </w:rPr>
        <w:t>t</w:t>
      </w:r>
      <w:r w:rsidR="00215BD5" w:rsidRPr="00215BD5">
        <w:rPr>
          <w:rFonts w:ascii="Times New Roman" w:hAnsi="Times New Roman" w:cs="Times New Roman"/>
          <w:sz w:val="24"/>
          <w:szCs w:val="24"/>
        </w:rPr>
        <w:t>enant is afforded an opportunity for a hearing if the tenant disputes</w:t>
      </w:r>
      <w:r w:rsidR="00C9212D">
        <w:rPr>
          <w:rFonts w:ascii="Times New Roman" w:hAnsi="Times New Roman" w:cs="Times New Roman"/>
          <w:sz w:val="24"/>
          <w:szCs w:val="24"/>
        </w:rPr>
        <w:t>,</w:t>
      </w:r>
      <w:r w:rsidR="00215BD5" w:rsidRPr="00215BD5">
        <w:rPr>
          <w:rFonts w:ascii="Times New Roman" w:hAnsi="Times New Roman" w:cs="Times New Roman"/>
          <w:sz w:val="24"/>
          <w:szCs w:val="24"/>
        </w:rPr>
        <w:t xml:space="preserve"> within a reasonable time</w:t>
      </w:r>
      <w:r w:rsidR="00C9212D">
        <w:rPr>
          <w:rFonts w:ascii="Times New Roman" w:hAnsi="Times New Roman" w:cs="Times New Roman"/>
          <w:sz w:val="24"/>
          <w:szCs w:val="24"/>
        </w:rPr>
        <w:t>,</w:t>
      </w:r>
      <w:r w:rsidR="00215BD5" w:rsidRPr="00215BD5">
        <w:rPr>
          <w:rFonts w:ascii="Times New Roman" w:hAnsi="Times New Roman" w:cs="Times New Roman"/>
          <w:sz w:val="24"/>
          <w:szCs w:val="24"/>
        </w:rPr>
        <w:t xml:space="preserve"> any </w:t>
      </w:r>
      <w:r w:rsidR="00215BD5">
        <w:rPr>
          <w:rFonts w:ascii="Times New Roman" w:hAnsi="Times New Roman" w:cs="Times New Roman"/>
          <w:sz w:val="24"/>
          <w:szCs w:val="24"/>
        </w:rPr>
        <w:t>Housing Authority</w:t>
      </w:r>
      <w:r w:rsidR="00215BD5" w:rsidRPr="00215BD5">
        <w:rPr>
          <w:rFonts w:ascii="Times New Roman" w:hAnsi="Times New Roman" w:cs="Times New Roman"/>
          <w:sz w:val="24"/>
          <w:szCs w:val="24"/>
        </w:rPr>
        <w:t xml:space="preserve"> action or failure to act involving the tenant’s lease with the </w:t>
      </w:r>
      <w:r w:rsidR="00215BD5">
        <w:rPr>
          <w:rFonts w:ascii="Times New Roman" w:hAnsi="Times New Roman" w:cs="Times New Roman"/>
          <w:sz w:val="24"/>
          <w:szCs w:val="24"/>
        </w:rPr>
        <w:t>Housing Authority</w:t>
      </w:r>
      <w:r w:rsidR="00215BD5" w:rsidRPr="00215BD5">
        <w:rPr>
          <w:rFonts w:ascii="Times New Roman" w:hAnsi="Times New Roman" w:cs="Times New Roman"/>
          <w:sz w:val="24"/>
          <w:szCs w:val="24"/>
        </w:rPr>
        <w:t xml:space="preserve"> or </w:t>
      </w:r>
      <w:r w:rsidR="00215BD5">
        <w:rPr>
          <w:rFonts w:ascii="Times New Roman" w:hAnsi="Times New Roman" w:cs="Times New Roman"/>
          <w:sz w:val="24"/>
          <w:szCs w:val="24"/>
        </w:rPr>
        <w:t>Housing Authority</w:t>
      </w:r>
      <w:r w:rsidR="00215BD5" w:rsidRPr="00215BD5">
        <w:rPr>
          <w:rFonts w:ascii="Times New Roman" w:hAnsi="Times New Roman" w:cs="Times New Roman"/>
          <w:sz w:val="24"/>
          <w:szCs w:val="24"/>
        </w:rPr>
        <w:t xml:space="preserve"> regulations which adversely affect the tenant’s rights, duties, welfare</w:t>
      </w:r>
      <w:r w:rsidR="00215BD5">
        <w:rPr>
          <w:rFonts w:ascii="Times New Roman" w:hAnsi="Times New Roman" w:cs="Times New Roman"/>
          <w:sz w:val="24"/>
          <w:szCs w:val="24"/>
        </w:rPr>
        <w:t>,</w:t>
      </w:r>
      <w:r w:rsidR="00215BD5" w:rsidRPr="00215BD5">
        <w:rPr>
          <w:rFonts w:ascii="Times New Roman" w:hAnsi="Times New Roman" w:cs="Times New Roman"/>
          <w:sz w:val="24"/>
          <w:szCs w:val="24"/>
        </w:rPr>
        <w:t xml:space="preserve"> or status.</w:t>
      </w:r>
      <w:r w:rsidR="00215BD5">
        <w:rPr>
          <w:rStyle w:val="FootnoteReference"/>
          <w:rFonts w:ascii="Times New Roman" w:hAnsi="Times New Roman" w:cs="Times New Roman"/>
          <w:sz w:val="24"/>
          <w:szCs w:val="24"/>
        </w:rPr>
        <w:footnoteReference w:id="1"/>
      </w:r>
    </w:p>
    <w:p w14:paraId="2D494415" w14:textId="77777777" w:rsidR="00AB3D4C" w:rsidRPr="00F613CD" w:rsidRDefault="00AB3D4C" w:rsidP="00F613CD">
      <w:pPr>
        <w:spacing w:after="0" w:line="240" w:lineRule="auto"/>
        <w:jc w:val="both"/>
        <w:rPr>
          <w:rFonts w:ascii="Times New Roman" w:hAnsi="Times New Roman" w:cs="Times New Roman"/>
          <w:sz w:val="24"/>
          <w:szCs w:val="24"/>
        </w:rPr>
      </w:pPr>
    </w:p>
    <w:p w14:paraId="0D39EF89" w14:textId="50FA7771" w:rsidR="003C0F1E" w:rsidRPr="00F613CD" w:rsidRDefault="00215BD5" w:rsidP="00F613CD">
      <w:pPr>
        <w:pStyle w:val="Heading1"/>
        <w:contextualSpacing w:val="0"/>
      </w:pPr>
      <w:bookmarkStart w:id="2" w:name="_Toc181202723"/>
      <w:r>
        <w:t>Applicability</w:t>
      </w:r>
      <w:bookmarkEnd w:id="2"/>
    </w:p>
    <w:p w14:paraId="05B5658C" w14:textId="77777777" w:rsidR="00F613CD" w:rsidRPr="00F613CD" w:rsidRDefault="00F613CD" w:rsidP="00F613CD">
      <w:pPr>
        <w:pStyle w:val="ListParagraph"/>
        <w:spacing w:after="0" w:line="240" w:lineRule="auto"/>
        <w:contextualSpacing w:val="0"/>
        <w:jc w:val="both"/>
        <w:rPr>
          <w:rFonts w:ascii="Times New Roman" w:eastAsia="Calibri" w:hAnsi="Times New Roman" w:cs="Times New Roman"/>
          <w:sz w:val="24"/>
          <w:szCs w:val="24"/>
        </w:rPr>
      </w:pPr>
    </w:p>
    <w:p w14:paraId="5D969D3E" w14:textId="71F3A24F" w:rsidR="00215BD5" w:rsidRDefault="00215BD5" w:rsidP="00C9212D">
      <w:pPr>
        <w:pStyle w:val="ListParagraph"/>
        <w:numPr>
          <w:ilvl w:val="0"/>
          <w:numId w:val="2"/>
        </w:numPr>
        <w:spacing w:after="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Grievance Procedure shall apply to </w:t>
      </w:r>
      <w:r w:rsidRPr="00215BD5">
        <w:rPr>
          <w:rFonts w:ascii="Times New Roman" w:eastAsia="Calibri" w:hAnsi="Times New Roman" w:cs="Times New Roman"/>
          <w:sz w:val="24"/>
          <w:szCs w:val="24"/>
        </w:rPr>
        <w:t xml:space="preserve">any dispute which a tenant may have with respect to </w:t>
      </w:r>
      <w:r w:rsidR="007F0E89">
        <w:rPr>
          <w:rFonts w:ascii="Times New Roman" w:eastAsia="Calibri" w:hAnsi="Times New Roman" w:cs="Times New Roman"/>
          <w:sz w:val="24"/>
          <w:szCs w:val="24"/>
        </w:rPr>
        <w:t xml:space="preserve">the </w:t>
      </w:r>
      <w:r>
        <w:rPr>
          <w:rFonts w:ascii="Times New Roman" w:eastAsia="Calibri" w:hAnsi="Times New Roman" w:cs="Times New Roman"/>
          <w:sz w:val="24"/>
          <w:szCs w:val="24"/>
        </w:rPr>
        <w:t>Housing Authority</w:t>
      </w:r>
      <w:r w:rsidR="007F0E89">
        <w:rPr>
          <w:rFonts w:ascii="Times New Roman" w:eastAsia="Calibri" w:hAnsi="Times New Roman" w:cs="Times New Roman"/>
          <w:sz w:val="24"/>
          <w:szCs w:val="24"/>
        </w:rPr>
        <w:t>’s</w:t>
      </w:r>
      <w:r w:rsidRPr="00215BD5">
        <w:rPr>
          <w:rFonts w:ascii="Times New Roman" w:eastAsia="Calibri" w:hAnsi="Times New Roman" w:cs="Times New Roman"/>
          <w:sz w:val="24"/>
          <w:szCs w:val="24"/>
        </w:rPr>
        <w:t xml:space="preserve"> action or failure to act in accordance with the tenant’s lease or </w:t>
      </w:r>
      <w:r w:rsidR="007F0E89">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Housing Authority </w:t>
      </w:r>
      <w:r w:rsidRPr="00215BD5">
        <w:rPr>
          <w:rFonts w:ascii="Times New Roman" w:eastAsia="Calibri" w:hAnsi="Times New Roman" w:cs="Times New Roman"/>
          <w:sz w:val="24"/>
          <w:szCs w:val="24"/>
        </w:rPr>
        <w:t>regulations which adversely affect the tenant’s rights, duties, welfare</w:t>
      </w:r>
      <w:r w:rsidR="007F0E89">
        <w:rPr>
          <w:rFonts w:ascii="Times New Roman" w:eastAsia="Calibri" w:hAnsi="Times New Roman" w:cs="Times New Roman"/>
          <w:sz w:val="24"/>
          <w:szCs w:val="24"/>
        </w:rPr>
        <w:t>,</w:t>
      </w:r>
      <w:r w:rsidRPr="00215BD5">
        <w:rPr>
          <w:rFonts w:ascii="Times New Roman" w:eastAsia="Calibri" w:hAnsi="Times New Roman" w:cs="Times New Roman"/>
          <w:sz w:val="24"/>
          <w:szCs w:val="24"/>
        </w:rPr>
        <w:t xml:space="preserve"> or status.</w:t>
      </w:r>
      <w:r>
        <w:rPr>
          <w:rStyle w:val="FootnoteReference"/>
          <w:rFonts w:ascii="Times New Roman" w:eastAsia="Calibri" w:hAnsi="Times New Roman" w:cs="Times New Roman"/>
          <w:sz w:val="24"/>
          <w:szCs w:val="24"/>
        </w:rPr>
        <w:footnoteReference w:id="2"/>
      </w:r>
    </w:p>
    <w:p w14:paraId="4AE37725" w14:textId="77777777" w:rsidR="00215BD5" w:rsidRDefault="00215BD5" w:rsidP="00215BD5">
      <w:pPr>
        <w:pStyle w:val="ListParagraph"/>
        <w:spacing w:after="0" w:line="240" w:lineRule="auto"/>
        <w:ind w:left="1440"/>
        <w:contextualSpacing w:val="0"/>
        <w:jc w:val="both"/>
        <w:rPr>
          <w:rFonts w:ascii="Times New Roman" w:eastAsia="Calibri" w:hAnsi="Times New Roman" w:cs="Times New Roman"/>
          <w:sz w:val="24"/>
          <w:szCs w:val="24"/>
        </w:rPr>
      </w:pPr>
    </w:p>
    <w:p w14:paraId="4654D705" w14:textId="045C3291" w:rsidR="00215BD5" w:rsidRPr="00E07E85" w:rsidRDefault="00215BD5" w:rsidP="00E07E85">
      <w:pPr>
        <w:spacing w:after="0" w:line="240" w:lineRule="auto"/>
        <w:ind w:left="720"/>
        <w:jc w:val="both"/>
        <w:rPr>
          <w:rFonts w:ascii="Times New Roman" w:eastAsia="Calibri" w:hAnsi="Times New Roman" w:cs="Times New Roman"/>
          <w:sz w:val="24"/>
          <w:szCs w:val="24"/>
        </w:rPr>
      </w:pPr>
      <w:r w:rsidRPr="00E07E85">
        <w:rPr>
          <w:rFonts w:ascii="Times New Roman" w:eastAsia="Calibri" w:hAnsi="Times New Roman" w:cs="Times New Roman"/>
          <w:sz w:val="24"/>
          <w:szCs w:val="24"/>
        </w:rPr>
        <w:t>Based on a due process determination</w:t>
      </w:r>
      <w:r w:rsidR="008563B1" w:rsidRPr="00E07E85">
        <w:rPr>
          <w:rFonts w:ascii="Times New Roman" w:eastAsia="Calibri" w:hAnsi="Times New Roman" w:cs="Times New Roman"/>
          <w:sz w:val="24"/>
          <w:szCs w:val="24"/>
        </w:rPr>
        <w:t xml:space="preserve"> by HUD</w:t>
      </w:r>
      <w:r w:rsidRPr="00E07E85">
        <w:rPr>
          <w:rFonts w:ascii="Times New Roman" w:eastAsia="Calibri" w:hAnsi="Times New Roman" w:cs="Times New Roman"/>
          <w:sz w:val="24"/>
          <w:szCs w:val="24"/>
        </w:rPr>
        <w:t xml:space="preserve">, the Housing Authority </w:t>
      </w:r>
      <w:r w:rsidR="008563B1" w:rsidRPr="00E07E85">
        <w:rPr>
          <w:rFonts w:ascii="Times New Roman" w:eastAsia="Calibri" w:hAnsi="Times New Roman" w:cs="Times New Roman"/>
          <w:sz w:val="24"/>
          <w:szCs w:val="24"/>
        </w:rPr>
        <w:t>hereby excludes from the Grievance Procedure any grievance concerning a termination of tenancy or eviction that involves: (1)</w:t>
      </w:r>
      <w:r w:rsidRPr="00E07E85">
        <w:rPr>
          <w:rFonts w:ascii="Times New Roman" w:eastAsia="Calibri" w:hAnsi="Times New Roman" w:cs="Times New Roman"/>
          <w:sz w:val="24"/>
          <w:szCs w:val="24"/>
        </w:rPr>
        <w:t> </w:t>
      </w:r>
      <w:r w:rsidR="008563B1" w:rsidRPr="00E07E85">
        <w:rPr>
          <w:rFonts w:ascii="Times New Roman" w:eastAsia="Calibri" w:hAnsi="Times New Roman" w:cs="Times New Roman"/>
          <w:sz w:val="24"/>
          <w:szCs w:val="24"/>
        </w:rPr>
        <w:t>a</w:t>
      </w:r>
      <w:r w:rsidRPr="00E07E85">
        <w:rPr>
          <w:rFonts w:ascii="Times New Roman" w:eastAsia="Calibri" w:hAnsi="Times New Roman" w:cs="Times New Roman"/>
          <w:sz w:val="24"/>
          <w:szCs w:val="24"/>
        </w:rPr>
        <w:t xml:space="preserve">ny criminal activity that threatens the health, safety or right to peaceful enjoyment of the premises of other residents or employees of the </w:t>
      </w:r>
      <w:r w:rsidR="008563B1" w:rsidRPr="00E07E85">
        <w:rPr>
          <w:rFonts w:ascii="Times New Roman" w:eastAsia="Calibri" w:hAnsi="Times New Roman" w:cs="Times New Roman"/>
          <w:sz w:val="24"/>
          <w:szCs w:val="24"/>
        </w:rPr>
        <w:t>Housing Authority; (2) a</w:t>
      </w:r>
      <w:r w:rsidRPr="00E07E85">
        <w:rPr>
          <w:rFonts w:ascii="Times New Roman" w:eastAsia="Calibri" w:hAnsi="Times New Roman" w:cs="Times New Roman"/>
          <w:sz w:val="24"/>
          <w:szCs w:val="24"/>
        </w:rPr>
        <w:t>ny violent or drug-related criminal activity on or off such premises; or</w:t>
      </w:r>
      <w:r w:rsidR="008563B1" w:rsidRPr="00E07E85">
        <w:rPr>
          <w:rFonts w:ascii="Times New Roman" w:eastAsia="Calibri" w:hAnsi="Times New Roman" w:cs="Times New Roman"/>
          <w:sz w:val="24"/>
          <w:szCs w:val="24"/>
        </w:rPr>
        <w:t xml:space="preserve"> (3) a</w:t>
      </w:r>
      <w:r w:rsidRPr="00E07E85">
        <w:rPr>
          <w:rFonts w:ascii="Times New Roman" w:eastAsia="Calibri" w:hAnsi="Times New Roman" w:cs="Times New Roman"/>
          <w:sz w:val="24"/>
          <w:szCs w:val="24"/>
        </w:rPr>
        <w:t>ny criminal activity that resulted in felony conviction of a household member.</w:t>
      </w:r>
      <w:r w:rsidR="008563B1">
        <w:rPr>
          <w:rStyle w:val="FootnoteReference"/>
          <w:rFonts w:ascii="Times New Roman" w:eastAsia="Calibri" w:hAnsi="Times New Roman" w:cs="Times New Roman"/>
          <w:sz w:val="24"/>
          <w:szCs w:val="24"/>
        </w:rPr>
        <w:footnoteReference w:id="3"/>
      </w:r>
      <w:r w:rsidR="008563B1" w:rsidRPr="00E07E85">
        <w:rPr>
          <w:rFonts w:ascii="Times New Roman" w:eastAsia="Calibri" w:hAnsi="Times New Roman" w:cs="Times New Roman"/>
          <w:sz w:val="24"/>
          <w:szCs w:val="24"/>
        </w:rPr>
        <w:t xml:space="preserve"> Accordingly, the Housing Authority shall not provide the opportunity for a hearing under these circumstances.</w:t>
      </w:r>
      <w:r w:rsidR="008563B1">
        <w:rPr>
          <w:rStyle w:val="FootnoteReference"/>
          <w:rFonts w:ascii="Times New Roman" w:eastAsia="Calibri" w:hAnsi="Times New Roman" w:cs="Times New Roman"/>
          <w:sz w:val="24"/>
          <w:szCs w:val="24"/>
        </w:rPr>
        <w:footnoteReference w:id="4"/>
      </w:r>
    </w:p>
    <w:p w14:paraId="0D236E1B" w14:textId="77777777" w:rsidR="008563B1" w:rsidRDefault="008563B1" w:rsidP="008563B1">
      <w:pPr>
        <w:pStyle w:val="ListParagraph"/>
        <w:spacing w:after="0" w:line="240" w:lineRule="auto"/>
        <w:contextualSpacing w:val="0"/>
        <w:jc w:val="both"/>
        <w:rPr>
          <w:rFonts w:ascii="Times New Roman" w:eastAsia="Calibri" w:hAnsi="Times New Roman" w:cs="Times New Roman"/>
          <w:sz w:val="24"/>
          <w:szCs w:val="24"/>
        </w:rPr>
      </w:pPr>
    </w:p>
    <w:p w14:paraId="4908E087" w14:textId="09A9EB77" w:rsidR="008563B1" w:rsidRDefault="00215BD5" w:rsidP="00C9212D">
      <w:pPr>
        <w:pStyle w:val="ListParagraph"/>
        <w:numPr>
          <w:ilvl w:val="0"/>
          <w:numId w:val="2"/>
        </w:numPr>
        <w:spacing w:after="0" w:line="240" w:lineRule="auto"/>
        <w:contextualSpacing w:val="0"/>
        <w:jc w:val="both"/>
        <w:rPr>
          <w:rFonts w:ascii="Times New Roman" w:eastAsia="Calibri" w:hAnsi="Times New Roman" w:cs="Times New Roman"/>
          <w:sz w:val="24"/>
          <w:szCs w:val="24"/>
        </w:rPr>
      </w:pPr>
      <w:r w:rsidRPr="008563B1">
        <w:rPr>
          <w:rFonts w:ascii="Times New Roman" w:eastAsia="Calibri" w:hAnsi="Times New Roman" w:cs="Times New Roman"/>
          <w:sz w:val="24"/>
          <w:szCs w:val="24"/>
        </w:rPr>
        <w:t xml:space="preserve">The </w:t>
      </w:r>
      <w:r w:rsidR="008563B1">
        <w:rPr>
          <w:rFonts w:ascii="Times New Roman" w:eastAsia="Calibri" w:hAnsi="Times New Roman" w:cs="Times New Roman"/>
          <w:sz w:val="24"/>
          <w:szCs w:val="24"/>
        </w:rPr>
        <w:t>G</w:t>
      </w:r>
      <w:r w:rsidRPr="008563B1">
        <w:rPr>
          <w:rFonts w:ascii="Times New Roman" w:eastAsia="Calibri" w:hAnsi="Times New Roman" w:cs="Times New Roman"/>
          <w:sz w:val="24"/>
          <w:szCs w:val="24"/>
        </w:rPr>
        <w:t xml:space="preserve">rievance </w:t>
      </w:r>
      <w:r w:rsidR="008563B1">
        <w:rPr>
          <w:rFonts w:ascii="Times New Roman" w:eastAsia="Calibri" w:hAnsi="Times New Roman" w:cs="Times New Roman"/>
          <w:sz w:val="24"/>
          <w:szCs w:val="24"/>
        </w:rPr>
        <w:t>P</w:t>
      </w:r>
      <w:r w:rsidRPr="008563B1">
        <w:rPr>
          <w:rFonts w:ascii="Times New Roman" w:eastAsia="Calibri" w:hAnsi="Times New Roman" w:cs="Times New Roman"/>
          <w:sz w:val="24"/>
          <w:szCs w:val="24"/>
        </w:rPr>
        <w:t xml:space="preserve">rocedure shall not be applicable to disputes between tenants not involving the </w:t>
      </w:r>
      <w:r w:rsidR="008563B1">
        <w:rPr>
          <w:rFonts w:ascii="Times New Roman" w:eastAsia="Calibri" w:hAnsi="Times New Roman" w:cs="Times New Roman"/>
          <w:sz w:val="24"/>
          <w:szCs w:val="24"/>
        </w:rPr>
        <w:t>Housing Authority</w:t>
      </w:r>
      <w:r w:rsidRPr="008563B1">
        <w:rPr>
          <w:rFonts w:ascii="Times New Roman" w:eastAsia="Calibri" w:hAnsi="Times New Roman" w:cs="Times New Roman"/>
          <w:sz w:val="24"/>
          <w:szCs w:val="24"/>
        </w:rPr>
        <w:t xml:space="preserve"> or to class grievances.</w:t>
      </w:r>
      <w:r w:rsidR="008563B1">
        <w:rPr>
          <w:rStyle w:val="FootnoteReference"/>
          <w:rFonts w:ascii="Times New Roman" w:eastAsia="Calibri" w:hAnsi="Times New Roman" w:cs="Times New Roman"/>
          <w:sz w:val="24"/>
          <w:szCs w:val="24"/>
        </w:rPr>
        <w:footnoteReference w:id="5"/>
      </w:r>
    </w:p>
    <w:p w14:paraId="63F31A3D" w14:textId="77777777" w:rsidR="008563B1" w:rsidRDefault="008563B1" w:rsidP="008563B1">
      <w:pPr>
        <w:pStyle w:val="ListParagraph"/>
        <w:spacing w:after="0" w:line="240" w:lineRule="auto"/>
        <w:contextualSpacing w:val="0"/>
        <w:jc w:val="both"/>
        <w:rPr>
          <w:rFonts w:ascii="Times New Roman" w:eastAsia="Calibri" w:hAnsi="Times New Roman" w:cs="Times New Roman"/>
          <w:sz w:val="24"/>
          <w:szCs w:val="24"/>
        </w:rPr>
      </w:pPr>
    </w:p>
    <w:p w14:paraId="2F42C69D" w14:textId="3A657B9C" w:rsidR="00215BD5" w:rsidRPr="008563B1" w:rsidRDefault="00215BD5" w:rsidP="00C9212D">
      <w:pPr>
        <w:pStyle w:val="ListParagraph"/>
        <w:numPr>
          <w:ilvl w:val="0"/>
          <w:numId w:val="2"/>
        </w:numPr>
        <w:spacing w:after="0" w:line="240" w:lineRule="auto"/>
        <w:contextualSpacing w:val="0"/>
        <w:jc w:val="both"/>
        <w:rPr>
          <w:rFonts w:ascii="Times New Roman" w:eastAsia="Calibri" w:hAnsi="Times New Roman" w:cs="Times New Roman"/>
          <w:sz w:val="24"/>
          <w:szCs w:val="24"/>
        </w:rPr>
      </w:pPr>
      <w:r w:rsidRPr="008563B1">
        <w:rPr>
          <w:rFonts w:ascii="Times New Roman" w:eastAsia="Calibri" w:hAnsi="Times New Roman" w:cs="Times New Roman"/>
          <w:sz w:val="24"/>
          <w:szCs w:val="24"/>
        </w:rPr>
        <w:t xml:space="preserve">The </w:t>
      </w:r>
      <w:r w:rsidR="008563B1">
        <w:rPr>
          <w:rFonts w:ascii="Times New Roman" w:eastAsia="Calibri" w:hAnsi="Times New Roman" w:cs="Times New Roman"/>
          <w:sz w:val="24"/>
          <w:szCs w:val="24"/>
        </w:rPr>
        <w:t>G</w:t>
      </w:r>
      <w:r w:rsidRPr="008563B1">
        <w:rPr>
          <w:rFonts w:ascii="Times New Roman" w:eastAsia="Calibri" w:hAnsi="Times New Roman" w:cs="Times New Roman"/>
          <w:sz w:val="24"/>
          <w:szCs w:val="24"/>
        </w:rPr>
        <w:t xml:space="preserve">rievance </w:t>
      </w:r>
      <w:r w:rsidR="008563B1">
        <w:rPr>
          <w:rFonts w:ascii="Times New Roman" w:eastAsia="Calibri" w:hAnsi="Times New Roman" w:cs="Times New Roman"/>
          <w:sz w:val="24"/>
          <w:szCs w:val="24"/>
        </w:rPr>
        <w:t>P</w:t>
      </w:r>
      <w:r w:rsidRPr="008563B1">
        <w:rPr>
          <w:rFonts w:ascii="Times New Roman" w:eastAsia="Calibri" w:hAnsi="Times New Roman" w:cs="Times New Roman"/>
          <w:sz w:val="24"/>
          <w:szCs w:val="24"/>
        </w:rPr>
        <w:t xml:space="preserve">rocedure is not intended as a forum for initiating or negotiating policy changes between a group or groups of tenants and the </w:t>
      </w:r>
      <w:r w:rsidR="008563B1">
        <w:rPr>
          <w:rFonts w:ascii="Times New Roman" w:eastAsia="Calibri" w:hAnsi="Times New Roman" w:cs="Times New Roman"/>
          <w:sz w:val="24"/>
          <w:szCs w:val="24"/>
        </w:rPr>
        <w:t>Housing Authority</w:t>
      </w:r>
      <w:r w:rsidRPr="008563B1">
        <w:rPr>
          <w:rFonts w:ascii="Times New Roman" w:eastAsia="Calibri" w:hAnsi="Times New Roman" w:cs="Times New Roman"/>
          <w:sz w:val="24"/>
          <w:szCs w:val="24"/>
        </w:rPr>
        <w:t>’s Board of Commissioners.</w:t>
      </w:r>
      <w:r w:rsidR="008563B1">
        <w:rPr>
          <w:rStyle w:val="FootnoteReference"/>
          <w:rFonts w:ascii="Times New Roman" w:eastAsia="Calibri" w:hAnsi="Times New Roman" w:cs="Times New Roman"/>
          <w:sz w:val="24"/>
          <w:szCs w:val="24"/>
        </w:rPr>
        <w:footnoteReference w:id="6"/>
      </w:r>
    </w:p>
    <w:p w14:paraId="205BE566" w14:textId="77777777" w:rsidR="00F36BB9" w:rsidRDefault="00F36BB9" w:rsidP="00F613CD">
      <w:pPr>
        <w:pStyle w:val="ListParagraph"/>
        <w:spacing w:after="0" w:line="240" w:lineRule="auto"/>
        <w:contextualSpacing w:val="0"/>
        <w:jc w:val="both"/>
        <w:rPr>
          <w:rFonts w:ascii="Times New Roman" w:eastAsia="Calibri" w:hAnsi="Times New Roman" w:cs="Times New Roman"/>
          <w:sz w:val="24"/>
          <w:szCs w:val="24"/>
        </w:rPr>
      </w:pPr>
    </w:p>
    <w:p w14:paraId="71FD47CA" w14:textId="77777777" w:rsidR="00145FFB" w:rsidRPr="00F613CD" w:rsidRDefault="00145FFB" w:rsidP="00F613CD">
      <w:pPr>
        <w:pStyle w:val="ListParagraph"/>
        <w:spacing w:after="0" w:line="240" w:lineRule="auto"/>
        <w:contextualSpacing w:val="0"/>
        <w:jc w:val="both"/>
        <w:rPr>
          <w:rFonts w:ascii="Times New Roman" w:eastAsia="Calibri" w:hAnsi="Times New Roman" w:cs="Times New Roman"/>
          <w:sz w:val="24"/>
          <w:szCs w:val="24"/>
        </w:rPr>
      </w:pPr>
    </w:p>
    <w:p w14:paraId="1798B2B9" w14:textId="345C891E" w:rsidR="0083310C" w:rsidRPr="00F613CD" w:rsidRDefault="00215BD5" w:rsidP="00F613CD">
      <w:pPr>
        <w:pStyle w:val="Heading1"/>
        <w:contextualSpacing w:val="0"/>
      </w:pPr>
      <w:bookmarkStart w:id="3" w:name="_Toc181202724"/>
      <w:r>
        <w:t>Informal Proceeding</w:t>
      </w:r>
      <w:bookmarkEnd w:id="3"/>
    </w:p>
    <w:p w14:paraId="05FAEB24" w14:textId="77777777" w:rsidR="00020E0E" w:rsidRPr="00F613CD" w:rsidRDefault="00020E0E" w:rsidP="00F613CD">
      <w:pPr>
        <w:pStyle w:val="ListParagraph"/>
        <w:spacing w:after="0" w:line="240" w:lineRule="auto"/>
        <w:contextualSpacing w:val="0"/>
        <w:jc w:val="both"/>
        <w:rPr>
          <w:rFonts w:ascii="Times New Roman" w:hAnsi="Times New Roman" w:cs="Times New Roman"/>
          <w:bCs/>
          <w:sz w:val="24"/>
        </w:rPr>
      </w:pPr>
    </w:p>
    <w:p w14:paraId="4BD733BD" w14:textId="33FF6DC8" w:rsidR="003F432B" w:rsidRDefault="003F432B" w:rsidP="00C9212D">
      <w:pPr>
        <w:pStyle w:val="ListParagraph"/>
        <w:numPr>
          <w:ilvl w:val="0"/>
          <w:numId w:val="3"/>
        </w:numPr>
        <w:spacing w:after="0" w:line="240" w:lineRule="auto"/>
        <w:contextualSpacing w:val="0"/>
        <w:jc w:val="both"/>
        <w:rPr>
          <w:rFonts w:ascii="Times New Roman" w:hAnsi="Times New Roman" w:cs="Times New Roman"/>
          <w:bCs/>
          <w:sz w:val="24"/>
        </w:rPr>
      </w:pPr>
      <w:r w:rsidRPr="003F432B">
        <w:rPr>
          <w:rFonts w:ascii="Times New Roman" w:hAnsi="Times New Roman" w:cs="Times New Roman"/>
          <w:bCs/>
          <w:sz w:val="24"/>
        </w:rPr>
        <w:t>Any grievance shall be personally presented</w:t>
      </w:r>
      <w:r w:rsidR="00B55C05">
        <w:rPr>
          <w:rFonts w:ascii="Times New Roman" w:hAnsi="Times New Roman" w:cs="Times New Roman"/>
          <w:bCs/>
          <w:sz w:val="24"/>
        </w:rPr>
        <w:t xml:space="preserve"> by the tenant</w:t>
      </w:r>
      <w:r w:rsidRPr="003F432B">
        <w:rPr>
          <w:rFonts w:ascii="Times New Roman" w:hAnsi="Times New Roman" w:cs="Times New Roman"/>
          <w:bCs/>
          <w:sz w:val="24"/>
        </w:rPr>
        <w:t xml:space="preserve">, either orally or in writing, to the </w:t>
      </w:r>
      <w:r>
        <w:rPr>
          <w:rFonts w:ascii="Times New Roman" w:hAnsi="Times New Roman" w:cs="Times New Roman"/>
          <w:bCs/>
          <w:sz w:val="24"/>
        </w:rPr>
        <w:t xml:space="preserve">Housing Authority </w:t>
      </w:r>
      <w:r w:rsidRPr="003F432B">
        <w:rPr>
          <w:rFonts w:ascii="Times New Roman" w:hAnsi="Times New Roman" w:cs="Times New Roman"/>
          <w:bCs/>
          <w:sz w:val="24"/>
        </w:rPr>
        <w:t xml:space="preserve">office </w:t>
      </w:r>
      <w:r w:rsidR="00E55359">
        <w:rPr>
          <w:rFonts w:ascii="Times New Roman" w:hAnsi="Times New Roman" w:cs="Times New Roman"/>
          <w:bCs/>
          <w:sz w:val="24"/>
        </w:rPr>
        <w:t xml:space="preserve">within ten (10) business days of the action or </w:t>
      </w:r>
      <w:r w:rsidR="00ED6FE5">
        <w:rPr>
          <w:rFonts w:ascii="Times New Roman" w:hAnsi="Times New Roman" w:cs="Times New Roman"/>
          <w:bCs/>
          <w:sz w:val="24"/>
        </w:rPr>
        <w:t>failure to act</w:t>
      </w:r>
      <w:r w:rsidR="00E55359">
        <w:rPr>
          <w:rFonts w:ascii="Times New Roman" w:hAnsi="Times New Roman" w:cs="Times New Roman"/>
          <w:bCs/>
          <w:sz w:val="24"/>
        </w:rPr>
        <w:t xml:space="preserve"> giving rise to the grievance</w:t>
      </w:r>
      <w:r w:rsidRPr="003F432B">
        <w:rPr>
          <w:rFonts w:ascii="Times New Roman" w:hAnsi="Times New Roman" w:cs="Times New Roman"/>
          <w:bCs/>
          <w:sz w:val="24"/>
        </w:rPr>
        <w:t>.</w:t>
      </w:r>
      <w:r>
        <w:rPr>
          <w:rStyle w:val="FootnoteReference"/>
          <w:rFonts w:ascii="Times New Roman" w:hAnsi="Times New Roman" w:cs="Times New Roman"/>
          <w:bCs/>
          <w:sz w:val="24"/>
        </w:rPr>
        <w:footnoteReference w:id="7"/>
      </w:r>
    </w:p>
    <w:p w14:paraId="41A5D23B" w14:textId="77777777" w:rsidR="00E55359" w:rsidRDefault="00E55359" w:rsidP="00E55359">
      <w:pPr>
        <w:pStyle w:val="ListParagraph"/>
        <w:spacing w:after="0" w:line="240" w:lineRule="auto"/>
        <w:contextualSpacing w:val="0"/>
        <w:jc w:val="both"/>
        <w:rPr>
          <w:rFonts w:ascii="Times New Roman" w:hAnsi="Times New Roman" w:cs="Times New Roman"/>
          <w:bCs/>
          <w:sz w:val="24"/>
        </w:rPr>
      </w:pPr>
    </w:p>
    <w:p w14:paraId="401A6EBB" w14:textId="33638EF7" w:rsidR="00E55359" w:rsidRDefault="00E55359" w:rsidP="00C9212D">
      <w:pPr>
        <w:pStyle w:val="ListParagraph"/>
        <w:numPr>
          <w:ilvl w:val="0"/>
          <w:numId w:val="3"/>
        </w:numPr>
        <w:spacing w:after="0" w:line="240" w:lineRule="auto"/>
        <w:contextualSpacing w:val="0"/>
        <w:jc w:val="both"/>
        <w:rPr>
          <w:rFonts w:ascii="Times New Roman" w:hAnsi="Times New Roman" w:cs="Times New Roman"/>
          <w:bCs/>
          <w:sz w:val="24"/>
        </w:rPr>
      </w:pPr>
      <w:r>
        <w:rPr>
          <w:rFonts w:ascii="Times New Roman" w:hAnsi="Times New Roman" w:cs="Times New Roman"/>
          <w:bCs/>
          <w:sz w:val="24"/>
        </w:rPr>
        <w:t>The tenant shall specify the ground(s) upon which the grievance is based and the remedy they are seeking.</w:t>
      </w:r>
      <w:r w:rsidR="00B55C05">
        <w:rPr>
          <w:rStyle w:val="FootnoteReference"/>
          <w:rFonts w:ascii="Times New Roman" w:hAnsi="Times New Roman" w:cs="Times New Roman"/>
          <w:bCs/>
          <w:sz w:val="24"/>
        </w:rPr>
        <w:footnoteReference w:id="8"/>
      </w:r>
    </w:p>
    <w:p w14:paraId="00B0F9A2" w14:textId="77777777" w:rsidR="00B55C05" w:rsidRPr="00E55359" w:rsidRDefault="00B55C05" w:rsidP="00E55359">
      <w:pPr>
        <w:pStyle w:val="ListParagraph"/>
        <w:rPr>
          <w:rFonts w:ascii="Times New Roman" w:hAnsi="Times New Roman" w:cs="Times New Roman"/>
          <w:bCs/>
          <w:sz w:val="24"/>
        </w:rPr>
      </w:pPr>
    </w:p>
    <w:p w14:paraId="066ACCB8" w14:textId="16CDFA39" w:rsidR="00B55C05" w:rsidRPr="00B21472" w:rsidRDefault="00B55C05" w:rsidP="00B21472">
      <w:pPr>
        <w:pStyle w:val="ListParagraph"/>
        <w:numPr>
          <w:ilvl w:val="0"/>
          <w:numId w:val="3"/>
        </w:numPr>
        <w:spacing w:after="0" w:line="240" w:lineRule="auto"/>
        <w:contextualSpacing w:val="0"/>
        <w:jc w:val="both"/>
        <w:rPr>
          <w:rFonts w:ascii="Times New Roman" w:hAnsi="Times New Roman" w:cs="Times New Roman"/>
          <w:bCs/>
          <w:sz w:val="24"/>
        </w:rPr>
      </w:pPr>
      <w:r>
        <w:rPr>
          <w:rFonts w:ascii="Times New Roman" w:hAnsi="Times New Roman" w:cs="Times New Roman"/>
          <w:bCs/>
          <w:sz w:val="24"/>
        </w:rPr>
        <w:t>The Housing Authority shall meet with the tenant to informally discuss the grievance and any potential settlement without the need for a hearing.</w:t>
      </w:r>
      <w:r>
        <w:rPr>
          <w:rStyle w:val="FootnoteReference"/>
          <w:rFonts w:ascii="Times New Roman" w:hAnsi="Times New Roman" w:cs="Times New Roman"/>
          <w:bCs/>
          <w:sz w:val="24"/>
        </w:rPr>
        <w:footnoteReference w:id="9"/>
      </w:r>
      <w:r w:rsidR="00B21472">
        <w:rPr>
          <w:rFonts w:ascii="Times New Roman" w:hAnsi="Times New Roman" w:cs="Times New Roman"/>
          <w:bCs/>
          <w:sz w:val="24"/>
        </w:rPr>
        <w:t xml:space="preserve">  </w:t>
      </w:r>
      <w:r w:rsidRPr="00B21472">
        <w:rPr>
          <w:rFonts w:ascii="Times New Roman" w:hAnsi="Times New Roman" w:cs="Times New Roman"/>
          <w:bCs/>
          <w:sz w:val="24"/>
        </w:rPr>
        <w:t>Th</w:t>
      </w:r>
      <w:r w:rsidR="00551D6E" w:rsidRPr="00B21472">
        <w:rPr>
          <w:rFonts w:ascii="Times New Roman" w:hAnsi="Times New Roman" w:cs="Times New Roman"/>
          <w:bCs/>
          <w:sz w:val="24"/>
        </w:rPr>
        <w:t xml:space="preserve">e </w:t>
      </w:r>
      <w:r w:rsidRPr="00B21472">
        <w:rPr>
          <w:rFonts w:ascii="Times New Roman" w:hAnsi="Times New Roman" w:cs="Times New Roman"/>
          <w:bCs/>
          <w:sz w:val="24"/>
        </w:rPr>
        <w:t xml:space="preserve">meeting shall occur either upon presentation, or at a mutually agreeable time </w:t>
      </w:r>
      <w:r w:rsidR="00551D6E" w:rsidRPr="00B21472">
        <w:rPr>
          <w:rFonts w:ascii="Times New Roman" w:hAnsi="Times New Roman" w:cs="Times New Roman"/>
          <w:bCs/>
          <w:sz w:val="24"/>
        </w:rPr>
        <w:t>that is c</w:t>
      </w:r>
      <w:r w:rsidRPr="00B21472">
        <w:rPr>
          <w:rFonts w:ascii="Times New Roman" w:hAnsi="Times New Roman" w:cs="Times New Roman"/>
          <w:bCs/>
          <w:sz w:val="24"/>
        </w:rPr>
        <w:t xml:space="preserve">onfirmed in writing. </w:t>
      </w:r>
    </w:p>
    <w:p w14:paraId="0EAE2D83" w14:textId="77777777" w:rsidR="003F432B" w:rsidRDefault="003F432B" w:rsidP="003F432B">
      <w:pPr>
        <w:pStyle w:val="ListParagraph"/>
        <w:spacing w:after="0" w:line="240" w:lineRule="auto"/>
        <w:contextualSpacing w:val="0"/>
        <w:jc w:val="both"/>
        <w:rPr>
          <w:rFonts w:ascii="Times New Roman" w:hAnsi="Times New Roman" w:cs="Times New Roman"/>
          <w:bCs/>
          <w:sz w:val="24"/>
        </w:rPr>
      </w:pPr>
    </w:p>
    <w:p w14:paraId="6F21FEB9" w14:textId="2177E749" w:rsidR="003F432B" w:rsidRDefault="00B55C05" w:rsidP="00C9212D">
      <w:pPr>
        <w:pStyle w:val="ListParagraph"/>
        <w:numPr>
          <w:ilvl w:val="0"/>
          <w:numId w:val="3"/>
        </w:numPr>
        <w:spacing w:after="0" w:line="240" w:lineRule="auto"/>
        <w:contextualSpacing w:val="0"/>
        <w:jc w:val="both"/>
        <w:rPr>
          <w:rFonts w:ascii="Times New Roman" w:hAnsi="Times New Roman" w:cs="Times New Roman"/>
          <w:bCs/>
          <w:sz w:val="24"/>
        </w:rPr>
      </w:pPr>
      <w:r>
        <w:rPr>
          <w:rFonts w:ascii="Times New Roman" w:hAnsi="Times New Roman" w:cs="Times New Roman"/>
          <w:bCs/>
          <w:sz w:val="24"/>
        </w:rPr>
        <w:t>The Housing Authority shall prepare a</w:t>
      </w:r>
      <w:r w:rsidR="003F432B" w:rsidRPr="003F432B">
        <w:rPr>
          <w:rFonts w:ascii="Times New Roman" w:hAnsi="Times New Roman" w:cs="Times New Roman"/>
          <w:bCs/>
          <w:sz w:val="24"/>
        </w:rPr>
        <w:t xml:space="preserve"> summary of </w:t>
      </w:r>
      <w:r>
        <w:rPr>
          <w:rFonts w:ascii="Times New Roman" w:hAnsi="Times New Roman" w:cs="Times New Roman"/>
          <w:bCs/>
          <w:sz w:val="24"/>
        </w:rPr>
        <w:t>the informal proceeding</w:t>
      </w:r>
      <w:r w:rsidR="003F432B" w:rsidRPr="003F432B">
        <w:rPr>
          <w:rFonts w:ascii="Times New Roman" w:hAnsi="Times New Roman" w:cs="Times New Roman"/>
          <w:bCs/>
          <w:sz w:val="24"/>
        </w:rPr>
        <w:t xml:space="preserve"> within a reasonable time</w:t>
      </w:r>
      <w:r w:rsidR="00551D6E">
        <w:rPr>
          <w:rFonts w:ascii="Times New Roman" w:hAnsi="Times New Roman" w:cs="Times New Roman"/>
          <w:bCs/>
          <w:sz w:val="24"/>
        </w:rPr>
        <w:t xml:space="preserve"> after the meeting</w:t>
      </w:r>
      <w:r w:rsidR="003F432B" w:rsidRPr="003F432B">
        <w:rPr>
          <w:rFonts w:ascii="Times New Roman" w:hAnsi="Times New Roman" w:cs="Times New Roman"/>
          <w:bCs/>
          <w:sz w:val="24"/>
        </w:rPr>
        <w:t>.</w:t>
      </w:r>
      <w:r w:rsidR="003F432B">
        <w:rPr>
          <w:rStyle w:val="FootnoteReference"/>
          <w:rFonts w:ascii="Times New Roman" w:hAnsi="Times New Roman" w:cs="Times New Roman"/>
          <w:bCs/>
          <w:sz w:val="24"/>
        </w:rPr>
        <w:footnoteReference w:id="10"/>
      </w:r>
    </w:p>
    <w:p w14:paraId="063601E3" w14:textId="77777777" w:rsidR="003F432B" w:rsidRPr="003F432B" w:rsidRDefault="003F432B" w:rsidP="003F432B">
      <w:pPr>
        <w:pStyle w:val="ListParagraph"/>
        <w:rPr>
          <w:rFonts w:ascii="Times New Roman" w:hAnsi="Times New Roman" w:cs="Times New Roman"/>
          <w:bCs/>
          <w:sz w:val="24"/>
        </w:rPr>
      </w:pPr>
    </w:p>
    <w:p w14:paraId="273FF279" w14:textId="344A7740" w:rsidR="007F04D8" w:rsidRDefault="003F432B" w:rsidP="00C9212D">
      <w:pPr>
        <w:pStyle w:val="ListParagraph"/>
        <w:numPr>
          <w:ilvl w:val="1"/>
          <w:numId w:val="3"/>
        </w:numPr>
        <w:spacing w:after="0" w:line="240" w:lineRule="auto"/>
        <w:contextualSpacing w:val="0"/>
        <w:jc w:val="both"/>
        <w:rPr>
          <w:rFonts w:ascii="Times New Roman" w:hAnsi="Times New Roman" w:cs="Times New Roman"/>
          <w:bCs/>
          <w:sz w:val="24"/>
        </w:rPr>
      </w:pPr>
      <w:r w:rsidRPr="003F432B">
        <w:rPr>
          <w:rFonts w:ascii="Times New Roman" w:hAnsi="Times New Roman" w:cs="Times New Roman"/>
          <w:bCs/>
          <w:sz w:val="24"/>
        </w:rPr>
        <w:t xml:space="preserve">The summary shall specify the names of the participants, dates of meeting, the nature of the proposed disposition of the </w:t>
      </w:r>
      <w:r w:rsidR="00F318C4">
        <w:rPr>
          <w:rFonts w:ascii="Times New Roman" w:hAnsi="Times New Roman" w:cs="Times New Roman"/>
          <w:bCs/>
          <w:sz w:val="24"/>
        </w:rPr>
        <w:t>grievance</w:t>
      </w:r>
      <w:r w:rsidRPr="003F432B">
        <w:rPr>
          <w:rFonts w:ascii="Times New Roman" w:hAnsi="Times New Roman" w:cs="Times New Roman"/>
          <w:bCs/>
          <w:sz w:val="24"/>
        </w:rPr>
        <w:t xml:space="preserve"> and the specific reasons therefor, and shall specify the procedures by which a hearing may be obtained if the </w:t>
      </w:r>
      <w:r w:rsidR="00F318C4">
        <w:rPr>
          <w:rFonts w:ascii="Times New Roman" w:hAnsi="Times New Roman" w:cs="Times New Roman"/>
          <w:bCs/>
          <w:sz w:val="24"/>
        </w:rPr>
        <w:t>tenant</w:t>
      </w:r>
      <w:r w:rsidRPr="003F432B">
        <w:rPr>
          <w:rFonts w:ascii="Times New Roman" w:hAnsi="Times New Roman" w:cs="Times New Roman"/>
          <w:bCs/>
          <w:sz w:val="24"/>
        </w:rPr>
        <w:t xml:space="preserve"> is not satisfied.</w:t>
      </w:r>
      <w:r>
        <w:rPr>
          <w:rStyle w:val="FootnoteReference"/>
          <w:rFonts w:ascii="Times New Roman" w:hAnsi="Times New Roman" w:cs="Times New Roman"/>
          <w:bCs/>
          <w:sz w:val="24"/>
        </w:rPr>
        <w:footnoteReference w:id="11"/>
      </w:r>
    </w:p>
    <w:p w14:paraId="057D553C" w14:textId="77777777" w:rsidR="00E55359" w:rsidRDefault="00E55359" w:rsidP="00E55359">
      <w:pPr>
        <w:pStyle w:val="ListParagraph"/>
        <w:spacing w:after="0" w:line="240" w:lineRule="auto"/>
        <w:ind w:left="1440"/>
        <w:contextualSpacing w:val="0"/>
        <w:jc w:val="both"/>
        <w:rPr>
          <w:rFonts w:ascii="Times New Roman" w:hAnsi="Times New Roman" w:cs="Times New Roman"/>
          <w:bCs/>
          <w:sz w:val="24"/>
        </w:rPr>
      </w:pPr>
    </w:p>
    <w:p w14:paraId="263A7CD1" w14:textId="74F8E168" w:rsidR="00E55359" w:rsidRPr="00B55C05" w:rsidRDefault="00B55C05" w:rsidP="00C9212D">
      <w:pPr>
        <w:pStyle w:val="ListParagraph"/>
        <w:numPr>
          <w:ilvl w:val="1"/>
          <w:numId w:val="3"/>
        </w:numPr>
        <w:spacing w:after="0" w:line="240" w:lineRule="auto"/>
        <w:contextualSpacing w:val="0"/>
        <w:jc w:val="both"/>
        <w:rPr>
          <w:rFonts w:ascii="Times New Roman" w:hAnsi="Times New Roman" w:cs="Times New Roman"/>
          <w:bCs/>
          <w:sz w:val="24"/>
        </w:rPr>
      </w:pPr>
      <w:r>
        <w:rPr>
          <w:rFonts w:ascii="Times New Roman" w:hAnsi="Times New Roman" w:cs="Times New Roman"/>
          <w:sz w:val="24"/>
          <w:szCs w:val="24"/>
        </w:rPr>
        <w:t>A copy of the summary will be provided to the tenant and another copy will be retained in the Housing Authority’s tenant file</w:t>
      </w:r>
      <w:r w:rsidR="00E55359" w:rsidRPr="00B55C05">
        <w:rPr>
          <w:rFonts w:ascii="Times New Roman" w:hAnsi="Times New Roman" w:cs="Times New Roman"/>
          <w:bCs/>
          <w:sz w:val="24"/>
        </w:rPr>
        <w:t>.</w:t>
      </w:r>
      <w:r w:rsidR="00E55359">
        <w:rPr>
          <w:rStyle w:val="FootnoteReference"/>
          <w:rFonts w:ascii="Times New Roman" w:hAnsi="Times New Roman" w:cs="Times New Roman"/>
          <w:bCs/>
          <w:sz w:val="24"/>
        </w:rPr>
        <w:footnoteReference w:id="12"/>
      </w:r>
    </w:p>
    <w:p w14:paraId="5A1D391C" w14:textId="77777777" w:rsidR="000A019C" w:rsidRPr="00F613CD" w:rsidRDefault="000A019C" w:rsidP="00F613CD">
      <w:pPr>
        <w:spacing w:after="0" w:line="240" w:lineRule="auto"/>
        <w:jc w:val="both"/>
        <w:rPr>
          <w:rFonts w:ascii="Times New Roman" w:hAnsi="Times New Roman" w:cs="Times New Roman"/>
          <w:bCs/>
          <w:sz w:val="24"/>
        </w:rPr>
      </w:pPr>
    </w:p>
    <w:p w14:paraId="509ABAD9" w14:textId="2CF93C86" w:rsidR="00F36BB9" w:rsidRPr="00F613CD" w:rsidRDefault="00215BD5" w:rsidP="00F613CD">
      <w:pPr>
        <w:pStyle w:val="Heading1"/>
        <w:contextualSpacing w:val="0"/>
      </w:pPr>
      <w:bookmarkStart w:id="4" w:name="_Toc181202725"/>
      <w:r>
        <w:t>Formal Hearing</w:t>
      </w:r>
      <w:bookmarkEnd w:id="4"/>
    </w:p>
    <w:p w14:paraId="20F4E71A" w14:textId="77777777" w:rsidR="00F613CD" w:rsidRPr="00F613CD" w:rsidRDefault="00F613CD" w:rsidP="00F613CD">
      <w:pPr>
        <w:pStyle w:val="ListParagraph"/>
        <w:spacing w:after="0" w:line="240" w:lineRule="auto"/>
        <w:contextualSpacing w:val="0"/>
        <w:jc w:val="both"/>
        <w:rPr>
          <w:rFonts w:ascii="Times New Roman" w:hAnsi="Times New Roman" w:cs="Times New Roman"/>
          <w:bCs/>
          <w:sz w:val="24"/>
        </w:rPr>
      </w:pPr>
    </w:p>
    <w:p w14:paraId="754A3C58" w14:textId="4270E93D" w:rsidR="0038615F" w:rsidRPr="00F318C4" w:rsidRDefault="0038615F" w:rsidP="00C9212D">
      <w:pPr>
        <w:pStyle w:val="ListParagraph"/>
        <w:numPr>
          <w:ilvl w:val="0"/>
          <w:numId w:val="4"/>
        </w:numPr>
        <w:spacing w:after="0" w:line="240" w:lineRule="auto"/>
        <w:jc w:val="both"/>
        <w:rPr>
          <w:rFonts w:ascii="Times New Roman" w:hAnsi="Times New Roman" w:cs="Times New Roman"/>
          <w:bCs/>
          <w:sz w:val="24"/>
        </w:rPr>
      </w:pPr>
      <w:r>
        <w:rPr>
          <w:rFonts w:ascii="Times New Roman" w:hAnsi="Times New Roman" w:cs="Times New Roman"/>
          <w:bCs/>
          <w:sz w:val="24"/>
        </w:rPr>
        <w:t xml:space="preserve">If the tenant is not satisfied with the outcome of the informal proceeding, they </w:t>
      </w:r>
      <w:r w:rsidR="00F318C4">
        <w:rPr>
          <w:rFonts w:ascii="Times New Roman" w:hAnsi="Times New Roman" w:cs="Times New Roman"/>
          <w:bCs/>
          <w:sz w:val="24"/>
        </w:rPr>
        <w:t xml:space="preserve">have </w:t>
      </w:r>
      <w:r>
        <w:rPr>
          <w:rFonts w:ascii="Times New Roman" w:hAnsi="Times New Roman" w:cs="Times New Roman"/>
          <w:bCs/>
          <w:sz w:val="24"/>
        </w:rPr>
        <w:t xml:space="preserve">ten (10) business days </w:t>
      </w:r>
      <w:r w:rsidR="00F318C4">
        <w:rPr>
          <w:rFonts w:ascii="Times New Roman" w:hAnsi="Times New Roman" w:cs="Times New Roman"/>
          <w:bCs/>
          <w:sz w:val="24"/>
        </w:rPr>
        <w:t>from the date of receipt of</w:t>
      </w:r>
      <w:r>
        <w:rPr>
          <w:rFonts w:ascii="Times New Roman" w:hAnsi="Times New Roman" w:cs="Times New Roman"/>
          <w:bCs/>
          <w:sz w:val="24"/>
        </w:rPr>
        <w:t xml:space="preserve"> the written summary </w:t>
      </w:r>
      <w:r w:rsidR="00F318C4">
        <w:rPr>
          <w:rFonts w:ascii="Times New Roman" w:hAnsi="Times New Roman" w:cs="Times New Roman"/>
          <w:bCs/>
          <w:sz w:val="24"/>
        </w:rPr>
        <w:t xml:space="preserve">to </w:t>
      </w:r>
      <w:r w:rsidR="00F318C4" w:rsidRPr="00F318C4">
        <w:rPr>
          <w:rFonts w:ascii="Times New Roman" w:hAnsi="Times New Roman" w:cs="Times New Roman"/>
          <w:bCs/>
          <w:sz w:val="24"/>
        </w:rPr>
        <w:t xml:space="preserve">submit a </w:t>
      </w:r>
      <w:r w:rsidR="00F318C4">
        <w:rPr>
          <w:rFonts w:ascii="Times New Roman" w:hAnsi="Times New Roman" w:cs="Times New Roman"/>
          <w:bCs/>
          <w:sz w:val="24"/>
        </w:rPr>
        <w:t xml:space="preserve">written </w:t>
      </w:r>
      <w:r w:rsidR="00F318C4" w:rsidRPr="00F318C4">
        <w:rPr>
          <w:rFonts w:ascii="Times New Roman" w:hAnsi="Times New Roman" w:cs="Times New Roman"/>
          <w:bCs/>
          <w:sz w:val="24"/>
        </w:rPr>
        <w:t xml:space="preserve">request for a formal hearing </w:t>
      </w:r>
      <w:r w:rsidR="00F318C4">
        <w:rPr>
          <w:rFonts w:ascii="Times New Roman" w:hAnsi="Times New Roman" w:cs="Times New Roman"/>
          <w:bCs/>
          <w:sz w:val="24"/>
        </w:rPr>
        <w:t>to the Housing Authority’s office</w:t>
      </w:r>
      <w:r w:rsidRPr="00F318C4">
        <w:rPr>
          <w:rFonts w:ascii="Times New Roman" w:hAnsi="Times New Roman" w:cs="Times New Roman"/>
          <w:bCs/>
          <w:sz w:val="24"/>
        </w:rPr>
        <w:t>.</w:t>
      </w:r>
    </w:p>
    <w:p w14:paraId="1BDBBFBB" w14:textId="77777777" w:rsidR="0038615F" w:rsidRDefault="0038615F" w:rsidP="0038615F">
      <w:pPr>
        <w:pStyle w:val="ListParagraph"/>
        <w:spacing w:after="0" w:line="240" w:lineRule="auto"/>
        <w:ind w:left="1440"/>
        <w:jc w:val="both"/>
        <w:rPr>
          <w:rFonts w:ascii="Times New Roman" w:hAnsi="Times New Roman" w:cs="Times New Roman"/>
          <w:bCs/>
          <w:sz w:val="24"/>
        </w:rPr>
      </w:pPr>
    </w:p>
    <w:p w14:paraId="544E1C20" w14:textId="77777777" w:rsidR="0038615F" w:rsidRDefault="0038615F" w:rsidP="00C9212D">
      <w:pPr>
        <w:pStyle w:val="ListParagraph"/>
        <w:numPr>
          <w:ilvl w:val="1"/>
          <w:numId w:val="4"/>
        </w:numPr>
        <w:spacing w:after="0" w:line="240" w:lineRule="auto"/>
        <w:jc w:val="both"/>
        <w:rPr>
          <w:rFonts w:ascii="Times New Roman" w:hAnsi="Times New Roman" w:cs="Times New Roman"/>
          <w:bCs/>
          <w:sz w:val="24"/>
        </w:rPr>
      </w:pPr>
      <w:r w:rsidRPr="0038615F">
        <w:rPr>
          <w:rFonts w:ascii="Times New Roman" w:hAnsi="Times New Roman" w:cs="Times New Roman"/>
          <w:bCs/>
          <w:sz w:val="24"/>
        </w:rPr>
        <w:t xml:space="preserve">If the </w:t>
      </w:r>
      <w:r>
        <w:rPr>
          <w:rFonts w:ascii="Times New Roman" w:hAnsi="Times New Roman" w:cs="Times New Roman"/>
          <w:bCs/>
          <w:sz w:val="24"/>
        </w:rPr>
        <w:t>t</w:t>
      </w:r>
      <w:r w:rsidRPr="0038615F">
        <w:rPr>
          <w:rFonts w:ascii="Times New Roman" w:hAnsi="Times New Roman" w:cs="Times New Roman"/>
          <w:bCs/>
          <w:sz w:val="24"/>
        </w:rPr>
        <w:t xml:space="preserve">enant </w:t>
      </w:r>
      <w:r>
        <w:rPr>
          <w:rFonts w:ascii="Times New Roman" w:hAnsi="Times New Roman" w:cs="Times New Roman"/>
          <w:bCs/>
          <w:sz w:val="24"/>
        </w:rPr>
        <w:t xml:space="preserve">fails to timely </w:t>
      </w:r>
      <w:r w:rsidRPr="0038615F">
        <w:rPr>
          <w:rFonts w:ascii="Times New Roman" w:hAnsi="Times New Roman" w:cs="Times New Roman"/>
          <w:bCs/>
          <w:sz w:val="24"/>
        </w:rPr>
        <w:t xml:space="preserve">request a hearing, then the </w:t>
      </w:r>
      <w:r>
        <w:rPr>
          <w:rFonts w:ascii="Times New Roman" w:hAnsi="Times New Roman" w:cs="Times New Roman"/>
          <w:bCs/>
          <w:sz w:val="24"/>
        </w:rPr>
        <w:t>Housing Authority’s</w:t>
      </w:r>
      <w:r w:rsidRPr="0038615F">
        <w:rPr>
          <w:rFonts w:ascii="Times New Roman" w:hAnsi="Times New Roman" w:cs="Times New Roman"/>
          <w:bCs/>
          <w:sz w:val="24"/>
        </w:rPr>
        <w:t xml:space="preserve"> disposition of the grievance </w:t>
      </w:r>
      <w:r>
        <w:rPr>
          <w:rFonts w:ascii="Times New Roman" w:hAnsi="Times New Roman" w:cs="Times New Roman"/>
          <w:bCs/>
          <w:sz w:val="24"/>
        </w:rPr>
        <w:t>through the informal proceeding shall become final.</w:t>
      </w:r>
    </w:p>
    <w:p w14:paraId="52B4697C" w14:textId="77777777" w:rsidR="0038615F" w:rsidRDefault="0038615F" w:rsidP="0038615F">
      <w:pPr>
        <w:pStyle w:val="ListParagraph"/>
        <w:spacing w:after="0" w:line="240" w:lineRule="auto"/>
        <w:ind w:left="1440"/>
        <w:jc w:val="both"/>
        <w:rPr>
          <w:rFonts w:ascii="Times New Roman" w:hAnsi="Times New Roman" w:cs="Times New Roman"/>
          <w:bCs/>
          <w:sz w:val="24"/>
        </w:rPr>
      </w:pPr>
    </w:p>
    <w:p w14:paraId="22092CE3" w14:textId="3B7FC70F" w:rsidR="0038615F" w:rsidRPr="0038615F" w:rsidRDefault="0038615F" w:rsidP="00C9212D">
      <w:pPr>
        <w:pStyle w:val="ListParagraph"/>
        <w:numPr>
          <w:ilvl w:val="1"/>
          <w:numId w:val="4"/>
        </w:numPr>
        <w:spacing w:after="0" w:line="240" w:lineRule="auto"/>
        <w:jc w:val="both"/>
        <w:rPr>
          <w:rFonts w:ascii="Times New Roman" w:hAnsi="Times New Roman" w:cs="Times New Roman"/>
          <w:bCs/>
          <w:sz w:val="24"/>
        </w:rPr>
      </w:pPr>
      <w:r>
        <w:rPr>
          <w:rFonts w:ascii="Times New Roman" w:hAnsi="Times New Roman" w:cs="Times New Roman"/>
          <w:bCs/>
          <w:sz w:val="24"/>
        </w:rPr>
        <w:t>Fa</w:t>
      </w:r>
      <w:r w:rsidRPr="0038615F">
        <w:rPr>
          <w:rFonts w:ascii="Times New Roman" w:hAnsi="Times New Roman" w:cs="Times New Roman"/>
          <w:bCs/>
          <w:sz w:val="24"/>
        </w:rPr>
        <w:t xml:space="preserve">ilure to request a hearing shall not constitute a waiver by the </w:t>
      </w:r>
      <w:r>
        <w:rPr>
          <w:rFonts w:ascii="Times New Roman" w:hAnsi="Times New Roman" w:cs="Times New Roman"/>
          <w:bCs/>
          <w:sz w:val="24"/>
        </w:rPr>
        <w:t>t</w:t>
      </w:r>
      <w:r w:rsidRPr="0038615F">
        <w:rPr>
          <w:rFonts w:ascii="Times New Roman" w:hAnsi="Times New Roman" w:cs="Times New Roman"/>
          <w:bCs/>
          <w:sz w:val="24"/>
        </w:rPr>
        <w:t xml:space="preserve">enant of the right thereafter to contest the </w:t>
      </w:r>
      <w:r>
        <w:rPr>
          <w:rFonts w:ascii="Times New Roman" w:hAnsi="Times New Roman" w:cs="Times New Roman"/>
          <w:bCs/>
          <w:sz w:val="24"/>
        </w:rPr>
        <w:t xml:space="preserve">Housing Authority’s </w:t>
      </w:r>
      <w:r w:rsidRPr="0038615F">
        <w:rPr>
          <w:rFonts w:ascii="Times New Roman" w:hAnsi="Times New Roman" w:cs="Times New Roman"/>
          <w:bCs/>
          <w:sz w:val="24"/>
        </w:rPr>
        <w:t>dispos</w:t>
      </w:r>
      <w:r>
        <w:rPr>
          <w:rFonts w:ascii="Times New Roman" w:hAnsi="Times New Roman" w:cs="Times New Roman"/>
          <w:bCs/>
          <w:sz w:val="24"/>
        </w:rPr>
        <w:t>ition</w:t>
      </w:r>
      <w:r w:rsidRPr="0038615F">
        <w:rPr>
          <w:rFonts w:ascii="Times New Roman" w:hAnsi="Times New Roman" w:cs="Times New Roman"/>
          <w:bCs/>
          <w:sz w:val="24"/>
        </w:rPr>
        <w:t xml:space="preserve"> of the</w:t>
      </w:r>
      <w:r>
        <w:rPr>
          <w:rFonts w:ascii="Times New Roman" w:hAnsi="Times New Roman" w:cs="Times New Roman"/>
          <w:bCs/>
          <w:sz w:val="24"/>
        </w:rPr>
        <w:t xml:space="preserve"> grievance</w:t>
      </w:r>
      <w:r w:rsidRPr="0038615F">
        <w:rPr>
          <w:rFonts w:ascii="Times New Roman" w:hAnsi="Times New Roman" w:cs="Times New Roman"/>
          <w:bCs/>
          <w:sz w:val="24"/>
        </w:rPr>
        <w:t xml:space="preserve"> in an appropriate judicial proceeding.</w:t>
      </w:r>
    </w:p>
    <w:p w14:paraId="1B3D9E83" w14:textId="77777777" w:rsidR="0038615F" w:rsidRDefault="0038615F" w:rsidP="0038615F">
      <w:pPr>
        <w:pStyle w:val="ListParagraph"/>
        <w:spacing w:after="0" w:line="240" w:lineRule="auto"/>
        <w:jc w:val="both"/>
        <w:rPr>
          <w:rFonts w:ascii="Times New Roman" w:hAnsi="Times New Roman" w:cs="Times New Roman"/>
          <w:bCs/>
          <w:sz w:val="24"/>
        </w:rPr>
      </w:pPr>
    </w:p>
    <w:p w14:paraId="0FC71B87" w14:textId="2301B7A9" w:rsidR="00C45C13" w:rsidRDefault="0038615F" w:rsidP="00C9212D">
      <w:pPr>
        <w:pStyle w:val="ListParagraph"/>
        <w:numPr>
          <w:ilvl w:val="0"/>
          <w:numId w:val="4"/>
        </w:numPr>
        <w:spacing w:after="0" w:line="240" w:lineRule="auto"/>
        <w:jc w:val="both"/>
        <w:rPr>
          <w:rFonts w:ascii="Times New Roman" w:hAnsi="Times New Roman" w:cs="Times New Roman"/>
          <w:bCs/>
          <w:sz w:val="24"/>
        </w:rPr>
      </w:pPr>
      <w:r>
        <w:rPr>
          <w:rFonts w:ascii="Times New Roman" w:hAnsi="Times New Roman" w:cs="Times New Roman"/>
          <w:bCs/>
          <w:sz w:val="24"/>
        </w:rPr>
        <w:t>The</w:t>
      </w:r>
      <w:r w:rsidR="00C45C13" w:rsidRPr="00C45C13">
        <w:rPr>
          <w:rFonts w:ascii="Times New Roman" w:hAnsi="Times New Roman" w:cs="Times New Roman"/>
          <w:bCs/>
          <w:sz w:val="24"/>
        </w:rPr>
        <w:t xml:space="preserve"> </w:t>
      </w:r>
      <w:r w:rsidR="00C45C13">
        <w:rPr>
          <w:rFonts w:ascii="Times New Roman" w:hAnsi="Times New Roman" w:cs="Times New Roman"/>
          <w:bCs/>
          <w:sz w:val="24"/>
        </w:rPr>
        <w:t xml:space="preserve">formal </w:t>
      </w:r>
      <w:r w:rsidR="00C45C13" w:rsidRPr="00C45C13">
        <w:rPr>
          <w:rFonts w:ascii="Times New Roman" w:hAnsi="Times New Roman" w:cs="Times New Roman"/>
          <w:bCs/>
          <w:sz w:val="24"/>
        </w:rPr>
        <w:t xml:space="preserve">hearing must be scheduled promptly for a time and place reasonably convenient to both the </w:t>
      </w:r>
      <w:r w:rsidR="00F318C4">
        <w:rPr>
          <w:rFonts w:ascii="Times New Roman" w:hAnsi="Times New Roman" w:cs="Times New Roman"/>
          <w:bCs/>
          <w:sz w:val="24"/>
        </w:rPr>
        <w:t xml:space="preserve">tenant </w:t>
      </w:r>
      <w:r w:rsidR="00C45C13" w:rsidRPr="00C45C13">
        <w:rPr>
          <w:rFonts w:ascii="Times New Roman" w:hAnsi="Times New Roman" w:cs="Times New Roman"/>
          <w:bCs/>
          <w:sz w:val="24"/>
        </w:rPr>
        <w:t xml:space="preserve">and the </w:t>
      </w:r>
      <w:r w:rsidR="00C45C13">
        <w:rPr>
          <w:rFonts w:ascii="Times New Roman" w:hAnsi="Times New Roman" w:cs="Times New Roman"/>
          <w:bCs/>
          <w:sz w:val="24"/>
        </w:rPr>
        <w:t>Housing Authority</w:t>
      </w:r>
      <w:r w:rsidR="00C45C13" w:rsidRPr="00C45C13">
        <w:rPr>
          <w:rFonts w:ascii="Times New Roman" w:hAnsi="Times New Roman" w:cs="Times New Roman"/>
          <w:bCs/>
          <w:sz w:val="24"/>
        </w:rPr>
        <w:t xml:space="preserve"> and held before a hearing officer.</w:t>
      </w:r>
      <w:r w:rsidR="00C45C13">
        <w:rPr>
          <w:rStyle w:val="FootnoteReference"/>
          <w:rFonts w:ascii="Times New Roman" w:hAnsi="Times New Roman" w:cs="Times New Roman"/>
          <w:bCs/>
          <w:sz w:val="24"/>
        </w:rPr>
        <w:footnoteReference w:id="13"/>
      </w:r>
      <w:r w:rsidR="00C45C13" w:rsidRPr="00C45C13">
        <w:rPr>
          <w:rFonts w:ascii="Times New Roman" w:hAnsi="Times New Roman" w:cs="Times New Roman"/>
          <w:bCs/>
          <w:sz w:val="24"/>
        </w:rPr>
        <w:t xml:space="preserve"> </w:t>
      </w:r>
    </w:p>
    <w:p w14:paraId="61B9BCF6" w14:textId="77777777" w:rsidR="00C45C13" w:rsidRDefault="00C45C13" w:rsidP="00C45C13">
      <w:pPr>
        <w:pStyle w:val="ListParagraph"/>
        <w:spacing w:after="0" w:line="240" w:lineRule="auto"/>
        <w:ind w:left="1440"/>
        <w:jc w:val="both"/>
        <w:rPr>
          <w:rFonts w:ascii="Times New Roman" w:hAnsi="Times New Roman" w:cs="Times New Roman"/>
          <w:bCs/>
          <w:sz w:val="24"/>
        </w:rPr>
      </w:pPr>
    </w:p>
    <w:p w14:paraId="004F9046" w14:textId="1FC9BF70" w:rsidR="00C45C13" w:rsidRPr="00C45C13" w:rsidRDefault="00C45C13" w:rsidP="00C9212D">
      <w:pPr>
        <w:pStyle w:val="ListParagraph"/>
        <w:numPr>
          <w:ilvl w:val="1"/>
          <w:numId w:val="4"/>
        </w:numPr>
        <w:spacing w:after="0" w:line="240" w:lineRule="auto"/>
        <w:jc w:val="both"/>
        <w:rPr>
          <w:rFonts w:ascii="Times New Roman" w:hAnsi="Times New Roman" w:cs="Times New Roman"/>
          <w:bCs/>
          <w:sz w:val="24"/>
        </w:rPr>
      </w:pPr>
      <w:r w:rsidRPr="00C45C13">
        <w:rPr>
          <w:rFonts w:ascii="Times New Roman" w:hAnsi="Times New Roman" w:cs="Times New Roman"/>
          <w:bCs/>
          <w:sz w:val="24"/>
        </w:rPr>
        <w:t xml:space="preserve">A written notification specifying the time, place, and the procedures governing the hearing must be delivered to </w:t>
      </w:r>
      <w:r w:rsidR="00F318C4">
        <w:rPr>
          <w:rFonts w:ascii="Times New Roman" w:hAnsi="Times New Roman" w:cs="Times New Roman"/>
          <w:bCs/>
          <w:sz w:val="24"/>
        </w:rPr>
        <w:t>the tenant</w:t>
      </w:r>
      <w:r w:rsidRPr="00C45C13">
        <w:rPr>
          <w:rFonts w:ascii="Times New Roman" w:hAnsi="Times New Roman" w:cs="Times New Roman"/>
          <w:bCs/>
          <w:sz w:val="24"/>
        </w:rPr>
        <w:t xml:space="preserve"> and the appropriate official.</w:t>
      </w:r>
      <w:r>
        <w:rPr>
          <w:rStyle w:val="FootnoteReference"/>
          <w:rFonts w:ascii="Times New Roman" w:hAnsi="Times New Roman" w:cs="Times New Roman"/>
          <w:bCs/>
          <w:sz w:val="24"/>
        </w:rPr>
        <w:footnoteReference w:id="14"/>
      </w:r>
    </w:p>
    <w:p w14:paraId="6A3EF541" w14:textId="77777777" w:rsidR="00C45C13" w:rsidRDefault="00C45C13" w:rsidP="00C45C13">
      <w:pPr>
        <w:pStyle w:val="ListParagraph"/>
        <w:spacing w:after="0" w:line="240" w:lineRule="auto"/>
        <w:contextualSpacing w:val="0"/>
        <w:jc w:val="both"/>
        <w:rPr>
          <w:rFonts w:ascii="Times New Roman" w:hAnsi="Times New Roman" w:cs="Times New Roman"/>
          <w:bCs/>
          <w:sz w:val="24"/>
        </w:rPr>
      </w:pPr>
    </w:p>
    <w:p w14:paraId="7BD40930" w14:textId="62A7B7C9" w:rsidR="003F432B" w:rsidRDefault="003F432B" w:rsidP="00C9212D">
      <w:pPr>
        <w:pStyle w:val="ListParagraph"/>
        <w:numPr>
          <w:ilvl w:val="1"/>
          <w:numId w:val="4"/>
        </w:numPr>
        <w:spacing w:after="0" w:line="240" w:lineRule="auto"/>
        <w:contextualSpacing w:val="0"/>
        <w:jc w:val="both"/>
        <w:rPr>
          <w:rFonts w:ascii="Times New Roman" w:hAnsi="Times New Roman" w:cs="Times New Roman"/>
          <w:bCs/>
          <w:sz w:val="24"/>
        </w:rPr>
      </w:pPr>
      <w:r w:rsidRPr="00C45C13">
        <w:rPr>
          <w:rFonts w:ascii="Times New Roman" w:hAnsi="Times New Roman" w:cs="Times New Roman"/>
          <w:bCs/>
          <w:sz w:val="24"/>
        </w:rPr>
        <w:t>The hearing officer shall be an impartial person or persons selected by the Housing Authority, other than the person who made or approved the decision under review, or a subordinate of that person.</w:t>
      </w:r>
      <w:r>
        <w:rPr>
          <w:rStyle w:val="FootnoteReference"/>
          <w:rFonts w:ascii="Times New Roman" w:hAnsi="Times New Roman" w:cs="Times New Roman"/>
          <w:bCs/>
          <w:sz w:val="24"/>
        </w:rPr>
        <w:footnoteReference w:id="15"/>
      </w:r>
    </w:p>
    <w:p w14:paraId="72CDD6B2" w14:textId="77777777" w:rsidR="003952A3" w:rsidRDefault="003952A3" w:rsidP="003952A3">
      <w:pPr>
        <w:pStyle w:val="ListParagraph"/>
        <w:spacing w:after="0" w:line="240" w:lineRule="auto"/>
        <w:jc w:val="both"/>
        <w:rPr>
          <w:rFonts w:ascii="Times New Roman" w:hAnsi="Times New Roman" w:cs="Times New Roman"/>
          <w:bCs/>
          <w:sz w:val="24"/>
        </w:rPr>
      </w:pPr>
    </w:p>
    <w:p w14:paraId="35BD0A93" w14:textId="7F9D5080" w:rsidR="003952A3" w:rsidRDefault="003952A3" w:rsidP="00C9212D">
      <w:pPr>
        <w:pStyle w:val="ListParagraph"/>
        <w:numPr>
          <w:ilvl w:val="0"/>
          <w:numId w:val="4"/>
        </w:numPr>
        <w:spacing w:after="0" w:line="240" w:lineRule="auto"/>
        <w:jc w:val="both"/>
        <w:rPr>
          <w:rFonts w:ascii="Times New Roman" w:hAnsi="Times New Roman" w:cs="Times New Roman"/>
          <w:bCs/>
          <w:sz w:val="24"/>
        </w:rPr>
      </w:pPr>
      <w:r w:rsidRPr="003952A3">
        <w:rPr>
          <w:rFonts w:ascii="Times New Roman" w:hAnsi="Times New Roman" w:cs="Times New Roman"/>
          <w:bCs/>
          <w:sz w:val="24"/>
        </w:rPr>
        <w:t xml:space="preserve">If </w:t>
      </w:r>
      <w:r w:rsidR="00F318C4">
        <w:rPr>
          <w:rFonts w:ascii="Times New Roman" w:hAnsi="Times New Roman" w:cs="Times New Roman"/>
          <w:bCs/>
          <w:sz w:val="24"/>
        </w:rPr>
        <w:t>the tenant</w:t>
      </w:r>
      <w:r w:rsidRPr="003952A3">
        <w:rPr>
          <w:rFonts w:ascii="Times New Roman" w:hAnsi="Times New Roman" w:cs="Times New Roman"/>
          <w:bCs/>
          <w:sz w:val="24"/>
        </w:rPr>
        <w:t xml:space="preserve"> or the </w:t>
      </w:r>
      <w:r>
        <w:rPr>
          <w:rFonts w:ascii="Times New Roman" w:hAnsi="Times New Roman" w:cs="Times New Roman"/>
          <w:bCs/>
          <w:sz w:val="24"/>
        </w:rPr>
        <w:t>Housing Authority</w:t>
      </w:r>
      <w:r w:rsidRPr="003952A3">
        <w:rPr>
          <w:rFonts w:ascii="Times New Roman" w:hAnsi="Times New Roman" w:cs="Times New Roman"/>
          <w:bCs/>
          <w:sz w:val="24"/>
        </w:rPr>
        <w:t xml:space="preserve"> fails to appear at a scheduled hearing, the</w:t>
      </w:r>
      <w:r w:rsidR="00F318C4">
        <w:rPr>
          <w:rFonts w:ascii="Times New Roman" w:hAnsi="Times New Roman" w:cs="Times New Roman"/>
          <w:bCs/>
          <w:sz w:val="24"/>
        </w:rPr>
        <w:t>n the</w:t>
      </w:r>
      <w:r w:rsidRPr="003952A3">
        <w:rPr>
          <w:rFonts w:ascii="Times New Roman" w:hAnsi="Times New Roman" w:cs="Times New Roman"/>
          <w:bCs/>
          <w:sz w:val="24"/>
        </w:rPr>
        <w:t xml:space="preserve"> hearing officer may make a determination to postpone the hearing for no more than</w:t>
      </w:r>
      <w:r w:rsidR="00ED6FE5">
        <w:rPr>
          <w:rFonts w:ascii="Times New Roman" w:hAnsi="Times New Roman" w:cs="Times New Roman"/>
          <w:bCs/>
          <w:sz w:val="24"/>
        </w:rPr>
        <w:t xml:space="preserve"> five (</w:t>
      </w:r>
      <w:r w:rsidRPr="003952A3">
        <w:rPr>
          <w:rFonts w:ascii="Times New Roman" w:hAnsi="Times New Roman" w:cs="Times New Roman"/>
          <w:bCs/>
          <w:sz w:val="24"/>
        </w:rPr>
        <w:t>5</w:t>
      </w:r>
      <w:r w:rsidR="00ED6FE5">
        <w:rPr>
          <w:rFonts w:ascii="Times New Roman" w:hAnsi="Times New Roman" w:cs="Times New Roman"/>
          <w:bCs/>
          <w:sz w:val="24"/>
        </w:rPr>
        <w:t>)</w:t>
      </w:r>
      <w:r w:rsidRPr="003952A3">
        <w:rPr>
          <w:rFonts w:ascii="Times New Roman" w:hAnsi="Times New Roman" w:cs="Times New Roman"/>
          <w:bCs/>
          <w:sz w:val="24"/>
        </w:rPr>
        <w:t xml:space="preserve"> business days or may make a determination that the party has waived </w:t>
      </w:r>
      <w:r w:rsidR="00ED6FE5">
        <w:rPr>
          <w:rFonts w:ascii="Times New Roman" w:hAnsi="Times New Roman" w:cs="Times New Roman"/>
          <w:bCs/>
          <w:sz w:val="24"/>
        </w:rPr>
        <w:t>their</w:t>
      </w:r>
      <w:r w:rsidRPr="003952A3">
        <w:rPr>
          <w:rFonts w:ascii="Times New Roman" w:hAnsi="Times New Roman" w:cs="Times New Roman"/>
          <w:bCs/>
          <w:sz w:val="24"/>
        </w:rPr>
        <w:t xml:space="preserve"> right to a hearing.</w:t>
      </w:r>
      <w:r w:rsidR="00ED6FE5">
        <w:rPr>
          <w:rStyle w:val="FootnoteReference"/>
          <w:rFonts w:ascii="Times New Roman" w:hAnsi="Times New Roman" w:cs="Times New Roman"/>
          <w:bCs/>
          <w:sz w:val="24"/>
        </w:rPr>
        <w:footnoteReference w:id="16"/>
      </w:r>
    </w:p>
    <w:p w14:paraId="57E34224" w14:textId="77777777" w:rsidR="003952A3" w:rsidRDefault="003952A3" w:rsidP="003952A3">
      <w:pPr>
        <w:pStyle w:val="ListParagraph"/>
        <w:spacing w:after="0" w:line="240" w:lineRule="auto"/>
        <w:ind w:left="1440"/>
        <w:jc w:val="both"/>
        <w:rPr>
          <w:rFonts w:ascii="Times New Roman" w:hAnsi="Times New Roman" w:cs="Times New Roman"/>
          <w:bCs/>
          <w:sz w:val="24"/>
        </w:rPr>
      </w:pPr>
    </w:p>
    <w:p w14:paraId="63BA9FAA" w14:textId="32DB941A" w:rsidR="00ED6FE5" w:rsidRDefault="003952A3" w:rsidP="00C9212D">
      <w:pPr>
        <w:pStyle w:val="ListParagraph"/>
        <w:numPr>
          <w:ilvl w:val="1"/>
          <w:numId w:val="4"/>
        </w:numPr>
        <w:spacing w:after="0" w:line="240" w:lineRule="auto"/>
        <w:jc w:val="both"/>
        <w:rPr>
          <w:rFonts w:ascii="Times New Roman" w:hAnsi="Times New Roman" w:cs="Times New Roman"/>
          <w:bCs/>
          <w:sz w:val="24"/>
        </w:rPr>
      </w:pPr>
      <w:r w:rsidRPr="003952A3">
        <w:rPr>
          <w:rFonts w:ascii="Times New Roman" w:hAnsi="Times New Roman" w:cs="Times New Roman"/>
          <w:bCs/>
          <w:sz w:val="24"/>
        </w:rPr>
        <w:t xml:space="preserve">Both the </w:t>
      </w:r>
      <w:r w:rsidR="00F318C4">
        <w:rPr>
          <w:rFonts w:ascii="Times New Roman" w:hAnsi="Times New Roman" w:cs="Times New Roman"/>
          <w:bCs/>
          <w:sz w:val="24"/>
        </w:rPr>
        <w:t>tenant</w:t>
      </w:r>
      <w:r w:rsidRPr="003952A3">
        <w:rPr>
          <w:rFonts w:ascii="Times New Roman" w:hAnsi="Times New Roman" w:cs="Times New Roman"/>
          <w:bCs/>
          <w:sz w:val="24"/>
        </w:rPr>
        <w:t xml:space="preserve"> and the </w:t>
      </w:r>
      <w:r w:rsidR="00ED6FE5">
        <w:rPr>
          <w:rFonts w:ascii="Times New Roman" w:hAnsi="Times New Roman" w:cs="Times New Roman"/>
          <w:bCs/>
          <w:sz w:val="24"/>
        </w:rPr>
        <w:t>Housing Authority</w:t>
      </w:r>
      <w:r w:rsidRPr="003952A3">
        <w:rPr>
          <w:rFonts w:ascii="Times New Roman" w:hAnsi="Times New Roman" w:cs="Times New Roman"/>
          <w:bCs/>
          <w:sz w:val="24"/>
        </w:rPr>
        <w:t xml:space="preserve"> must be notified of the determination by the hearing officer.</w:t>
      </w:r>
      <w:r w:rsidR="00ED6FE5">
        <w:rPr>
          <w:rStyle w:val="FootnoteReference"/>
          <w:rFonts w:ascii="Times New Roman" w:hAnsi="Times New Roman" w:cs="Times New Roman"/>
          <w:bCs/>
          <w:sz w:val="24"/>
        </w:rPr>
        <w:footnoteReference w:id="17"/>
      </w:r>
    </w:p>
    <w:p w14:paraId="60A48239" w14:textId="77777777" w:rsidR="00ED6FE5" w:rsidRDefault="00ED6FE5" w:rsidP="00ED6FE5">
      <w:pPr>
        <w:pStyle w:val="ListParagraph"/>
        <w:spacing w:after="0" w:line="240" w:lineRule="auto"/>
        <w:ind w:left="1440"/>
        <w:jc w:val="both"/>
        <w:rPr>
          <w:rFonts w:ascii="Times New Roman" w:hAnsi="Times New Roman" w:cs="Times New Roman"/>
          <w:bCs/>
          <w:sz w:val="24"/>
        </w:rPr>
      </w:pPr>
    </w:p>
    <w:p w14:paraId="11E12658" w14:textId="06735297" w:rsidR="003952A3" w:rsidRPr="003952A3" w:rsidRDefault="003952A3" w:rsidP="00C9212D">
      <w:pPr>
        <w:pStyle w:val="ListParagraph"/>
        <w:numPr>
          <w:ilvl w:val="1"/>
          <w:numId w:val="4"/>
        </w:numPr>
        <w:spacing w:after="0" w:line="240" w:lineRule="auto"/>
        <w:jc w:val="both"/>
        <w:rPr>
          <w:rFonts w:ascii="Times New Roman" w:hAnsi="Times New Roman" w:cs="Times New Roman"/>
          <w:bCs/>
          <w:sz w:val="24"/>
        </w:rPr>
      </w:pPr>
      <w:r w:rsidRPr="003952A3">
        <w:rPr>
          <w:rFonts w:ascii="Times New Roman" w:hAnsi="Times New Roman" w:cs="Times New Roman"/>
          <w:bCs/>
          <w:sz w:val="24"/>
        </w:rPr>
        <w:t xml:space="preserve">A determination that the </w:t>
      </w:r>
      <w:r w:rsidR="00F318C4">
        <w:rPr>
          <w:rFonts w:ascii="Times New Roman" w:hAnsi="Times New Roman" w:cs="Times New Roman"/>
          <w:bCs/>
          <w:sz w:val="24"/>
        </w:rPr>
        <w:t>tenant</w:t>
      </w:r>
      <w:r w:rsidRPr="003952A3">
        <w:rPr>
          <w:rFonts w:ascii="Times New Roman" w:hAnsi="Times New Roman" w:cs="Times New Roman"/>
          <w:bCs/>
          <w:sz w:val="24"/>
        </w:rPr>
        <w:t xml:space="preserve"> has waived the</w:t>
      </w:r>
      <w:r w:rsidR="00ED6FE5">
        <w:rPr>
          <w:rFonts w:ascii="Times New Roman" w:hAnsi="Times New Roman" w:cs="Times New Roman"/>
          <w:bCs/>
          <w:sz w:val="24"/>
        </w:rPr>
        <w:t>ir</w:t>
      </w:r>
      <w:r w:rsidRPr="003952A3">
        <w:rPr>
          <w:rFonts w:ascii="Times New Roman" w:hAnsi="Times New Roman" w:cs="Times New Roman"/>
          <w:bCs/>
          <w:sz w:val="24"/>
        </w:rPr>
        <w:t xml:space="preserve"> right to a hearing will not constitute a waiver of any right the </w:t>
      </w:r>
      <w:r w:rsidR="00F318C4">
        <w:rPr>
          <w:rFonts w:ascii="Times New Roman" w:hAnsi="Times New Roman" w:cs="Times New Roman"/>
          <w:bCs/>
          <w:sz w:val="24"/>
        </w:rPr>
        <w:t>tenant</w:t>
      </w:r>
      <w:r w:rsidRPr="003952A3">
        <w:rPr>
          <w:rFonts w:ascii="Times New Roman" w:hAnsi="Times New Roman" w:cs="Times New Roman"/>
          <w:bCs/>
          <w:sz w:val="24"/>
        </w:rPr>
        <w:t xml:space="preserve"> may have to contest the </w:t>
      </w:r>
      <w:r w:rsidR="00ED6FE5">
        <w:rPr>
          <w:rFonts w:ascii="Times New Roman" w:hAnsi="Times New Roman" w:cs="Times New Roman"/>
          <w:bCs/>
          <w:sz w:val="24"/>
        </w:rPr>
        <w:t>Housing Authority</w:t>
      </w:r>
      <w:r w:rsidRPr="003952A3">
        <w:rPr>
          <w:rFonts w:ascii="Times New Roman" w:hAnsi="Times New Roman" w:cs="Times New Roman"/>
          <w:bCs/>
          <w:sz w:val="24"/>
        </w:rPr>
        <w:t>’s disposition of the grievance in an appropriate judicial proceeding.</w:t>
      </w:r>
      <w:r w:rsidR="00ED6FE5">
        <w:rPr>
          <w:rStyle w:val="FootnoteReference"/>
          <w:rFonts w:ascii="Times New Roman" w:hAnsi="Times New Roman" w:cs="Times New Roman"/>
          <w:bCs/>
          <w:sz w:val="24"/>
        </w:rPr>
        <w:footnoteReference w:id="18"/>
      </w:r>
    </w:p>
    <w:p w14:paraId="5AEEBA84" w14:textId="6DE16B08" w:rsidR="003F432B" w:rsidRPr="003F432B" w:rsidRDefault="003F432B" w:rsidP="003F432B">
      <w:pPr>
        <w:pStyle w:val="ListParagraph"/>
        <w:spacing w:after="0" w:line="240" w:lineRule="auto"/>
        <w:ind w:left="1440"/>
        <w:contextualSpacing w:val="0"/>
        <w:jc w:val="both"/>
        <w:rPr>
          <w:rFonts w:ascii="Times New Roman" w:hAnsi="Times New Roman" w:cs="Times New Roman"/>
          <w:bCs/>
          <w:sz w:val="24"/>
        </w:rPr>
      </w:pPr>
      <w:r>
        <w:rPr>
          <w:rFonts w:ascii="Times New Roman" w:hAnsi="Times New Roman" w:cs="Times New Roman"/>
          <w:bCs/>
          <w:sz w:val="24"/>
        </w:rPr>
        <w:t xml:space="preserve"> </w:t>
      </w:r>
    </w:p>
    <w:p w14:paraId="455D7218" w14:textId="2FD0401A" w:rsidR="003952A3" w:rsidRDefault="003952A3" w:rsidP="00C9212D">
      <w:pPr>
        <w:pStyle w:val="ListParagraph"/>
        <w:numPr>
          <w:ilvl w:val="0"/>
          <w:numId w:val="4"/>
        </w:numPr>
        <w:spacing w:after="0" w:line="240" w:lineRule="auto"/>
        <w:contextualSpacing w:val="0"/>
        <w:jc w:val="both"/>
        <w:rPr>
          <w:rFonts w:ascii="Times New Roman" w:hAnsi="Times New Roman" w:cs="Times New Roman"/>
          <w:bCs/>
          <w:sz w:val="24"/>
        </w:rPr>
      </w:pPr>
      <w:r>
        <w:rPr>
          <w:rFonts w:ascii="Times New Roman" w:hAnsi="Times New Roman" w:cs="Times New Roman"/>
          <w:bCs/>
          <w:sz w:val="24"/>
        </w:rPr>
        <w:t>Fair Hearing Standards</w:t>
      </w:r>
    </w:p>
    <w:p w14:paraId="1F214E40" w14:textId="77777777" w:rsidR="003952A3" w:rsidRDefault="003952A3" w:rsidP="003952A3">
      <w:pPr>
        <w:pStyle w:val="ListParagraph"/>
        <w:spacing w:after="0" w:line="240" w:lineRule="auto"/>
        <w:ind w:left="1440"/>
        <w:contextualSpacing w:val="0"/>
        <w:jc w:val="both"/>
        <w:rPr>
          <w:rFonts w:ascii="Times New Roman" w:hAnsi="Times New Roman" w:cs="Times New Roman"/>
          <w:bCs/>
          <w:sz w:val="24"/>
        </w:rPr>
      </w:pPr>
    </w:p>
    <w:p w14:paraId="73896C23" w14:textId="37754F02" w:rsidR="00C45C13" w:rsidRDefault="003952A3" w:rsidP="00C9212D">
      <w:pPr>
        <w:pStyle w:val="ListParagraph"/>
        <w:numPr>
          <w:ilvl w:val="1"/>
          <w:numId w:val="4"/>
        </w:numPr>
        <w:spacing w:after="0" w:line="240" w:lineRule="auto"/>
        <w:contextualSpacing w:val="0"/>
        <w:jc w:val="both"/>
        <w:rPr>
          <w:rFonts w:ascii="Times New Roman" w:hAnsi="Times New Roman" w:cs="Times New Roman"/>
          <w:bCs/>
          <w:sz w:val="24"/>
        </w:rPr>
      </w:pPr>
      <w:r>
        <w:rPr>
          <w:rFonts w:ascii="Times New Roman" w:hAnsi="Times New Roman" w:cs="Times New Roman"/>
          <w:bCs/>
          <w:sz w:val="24"/>
        </w:rPr>
        <w:t>Prior to the hearing, t</w:t>
      </w:r>
      <w:r w:rsidR="00C45C13">
        <w:rPr>
          <w:rFonts w:ascii="Times New Roman" w:hAnsi="Times New Roman" w:cs="Times New Roman"/>
          <w:bCs/>
          <w:sz w:val="24"/>
        </w:rPr>
        <w:t xml:space="preserve">he </w:t>
      </w:r>
      <w:r w:rsidR="00F318C4">
        <w:rPr>
          <w:rFonts w:ascii="Times New Roman" w:hAnsi="Times New Roman" w:cs="Times New Roman"/>
          <w:bCs/>
          <w:sz w:val="24"/>
        </w:rPr>
        <w:t xml:space="preserve">tenant </w:t>
      </w:r>
      <w:r w:rsidR="00C45C13">
        <w:rPr>
          <w:rFonts w:ascii="Times New Roman" w:hAnsi="Times New Roman" w:cs="Times New Roman"/>
          <w:bCs/>
          <w:sz w:val="24"/>
        </w:rPr>
        <w:t xml:space="preserve">shall be afforded the </w:t>
      </w:r>
      <w:r w:rsidR="00C45C13" w:rsidRPr="00C45C13">
        <w:rPr>
          <w:rFonts w:ascii="Times New Roman" w:hAnsi="Times New Roman" w:cs="Times New Roman"/>
          <w:bCs/>
          <w:sz w:val="24"/>
        </w:rPr>
        <w:t>opportunity to examine</w:t>
      </w:r>
      <w:r>
        <w:rPr>
          <w:rFonts w:ascii="Times New Roman" w:hAnsi="Times New Roman" w:cs="Times New Roman"/>
          <w:bCs/>
          <w:sz w:val="24"/>
        </w:rPr>
        <w:t xml:space="preserve"> </w:t>
      </w:r>
      <w:r w:rsidR="00C45C13" w:rsidRPr="00C45C13">
        <w:rPr>
          <w:rFonts w:ascii="Times New Roman" w:hAnsi="Times New Roman" w:cs="Times New Roman"/>
          <w:bCs/>
          <w:sz w:val="24"/>
        </w:rPr>
        <w:t xml:space="preserve">any </w:t>
      </w:r>
      <w:r w:rsidR="00C45C13">
        <w:rPr>
          <w:rFonts w:ascii="Times New Roman" w:hAnsi="Times New Roman" w:cs="Times New Roman"/>
          <w:bCs/>
          <w:sz w:val="24"/>
        </w:rPr>
        <w:t xml:space="preserve">Housing Authority </w:t>
      </w:r>
      <w:r w:rsidR="00C45C13" w:rsidRPr="00C45C13">
        <w:rPr>
          <w:rFonts w:ascii="Times New Roman" w:hAnsi="Times New Roman" w:cs="Times New Roman"/>
          <w:bCs/>
          <w:sz w:val="24"/>
        </w:rPr>
        <w:t>documents, including records and regulations, that are directly relevant to the hearing.</w:t>
      </w:r>
      <w:r w:rsidR="00C45C13">
        <w:rPr>
          <w:rStyle w:val="FootnoteReference"/>
          <w:rFonts w:ascii="Times New Roman" w:hAnsi="Times New Roman" w:cs="Times New Roman"/>
          <w:bCs/>
          <w:sz w:val="24"/>
        </w:rPr>
        <w:footnoteReference w:id="19"/>
      </w:r>
    </w:p>
    <w:p w14:paraId="607732FF" w14:textId="77777777" w:rsidR="003952A3" w:rsidRDefault="003952A3" w:rsidP="003952A3">
      <w:pPr>
        <w:pStyle w:val="ListParagraph"/>
        <w:spacing w:after="0" w:line="240" w:lineRule="auto"/>
        <w:ind w:left="2160"/>
        <w:contextualSpacing w:val="0"/>
        <w:jc w:val="both"/>
        <w:rPr>
          <w:rFonts w:ascii="Times New Roman" w:hAnsi="Times New Roman" w:cs="Times New Roman"/>
          <w:bCs/>
          <w:sz w:val="24"/>
        </w:rPr>
      </w:pPr>
    </w:p>
    <w:p w14:paraId="59971BD6" w14:textId="2270E7BE" w:rsidR="00C45C13" w:rsidRDefault="00C45C13" w:rsidP="00C9212D">
      <w:pPr>
        <w:pStyle w:val="ListParagraph"/>
        <w:numPr>
          <w:ilvl w:val="2"/>
          <w:numId w:val="4"/>
        </w:numPr>
        <w:spacing w:after="0" w:line="240" w:lineRule="auto"/>
        <w:contextualSpacing w:val="0"/>
        <w:jc w:val="both"/>
        <w:rPr>
          <w:rFonts w:ascii="Times New Roman" w:hAnsi="Times New Roman" w:cs="Times New Roman"/>
          <w:bCs/>
          <w:sz w:val="24"/>
        </w:rPr>
      </w:pPr>
      <w:r w:rsidRPr="00C45C13">
        <w:rPr>
          <w:rFonts w:ascii="Times New Roman" w:hAnsi="Times New Roman" w:cs="Times New Roman"/>
          <w:bCs/>
          <w:sz w:val="24"/>
        </w:rPr>
        <w:t>The tenant shall be allowed to copy any such document at the tenant’s expense.</w:t>
      </w:r>
      <w:r>
        <w:rPr>
          <w:rStyle w:val="FootnoteReference"/>
          <w:rFonts w:ascii="Times New Roman" w:hAnsi="Times New Roman" w:cs="Times New Roman"/>
          <w:bCs/>
          <w:sz w:val="24"/>
        </w:rPr>
        <w:footnoteReference w:id="20"/>
      </w:r>
    </w:p>
    <w:p w14:paraId="1DE2D778" w14:textId="77777777" w:rsidR="003952A3" w:rsidRDefault="003952A3" w:rsidP="003952A3">
      <w:pPr>
        <w:pStyle w:val="ListParagraph"/>
        <w:spacing w:after="0" w:line="240" w:lineRule="auto"/>
        <w:ind w:left="2160"/>
        <w:contextualSpacing w:val="0"/>
        <w:jc w:val="both"/>
        <w:rPr>
          <w:rFonts w:ascii="Times New Roman" w:hAnsi="Times New Roman" w:cs="Times New Roman"/>
          <w:bCs/>
          <w:sz w:val="24"/>
        </w:rPr>
      </w:pPr>
    </w:p>
    <w:p w14:paraId="4909C0DD" w14:textId="527F68F8" w:rsidR="00C45C13" w:rsidRDefault="00C45C13" w:rsidP="00C9212D">
      <w:pPr>
        <w:pStyle w:val="ListParagraph"/>
        <w:numPr>
          <w:ilvl w:val="2"/>
          <w:numId w:val="4"/>
        </w:numPr>
        <w:spacing w:after="0" w:line="240" w:lineRule="auto"/>
        <w:contextualSpacing w:val="0"/>
        <w:jc w:val="both"/>
        <w:rPr>
          <w:rFonts w:ascii="Times New Roman" w:hAnsi="Times New Roman" w:cs="Times New Roman"/>
          <w:bCs/>
          <w:sz w:val="24"/>
        </w:rPr>
      </w:pPr>
      <w:r w:rsidRPr="00C45C13">
        <w:rPr>
          <w:rFonts w:ascii="Times New Roman" w:hAnsi="Times New Roman" w:cs="Times New Roman"/>
          <w:bCs/>
          <w:sz w:val="24"/>
        </w:rPr>
        <w:t xml:space="preserve">If the </w:t>
      </w:r>
      <w:r>
        <w:rPr>
          <w:rFonts w:ascii="Times New Roman" w:hAnsi="Times New Roman" w:cs="Times New Roman"/>
          <w:bCs/>
          <w:sz w:val="24"/>
        </w:rPr>
        <w:t xml:space="preserve">Housing Authority </w:t>
      </w:r>
      <w:r w:rsidRPr="00C45C13">
        <w:rPr>
          <w:rFonts w:ascii="Times New Roman" w:hAnsi="Times New Roman" w:cs="Times New Roman"/>
          <w:bCs/>
          <w:sz w:val="24"/>
        </w:rPr>
        <w:t xml:space="preserve">does not make the document available for examination upon request by the </w:t>
      </w:r>
      <w:r w:rsidR="00F318C4">
        <w:rPr>
          <w:rFonts w:ascii="Times New Roman" w:hAnsi="Times New Roman" w:cs="Times New Roman"/>
          <w:bCs/>
          <w:sz w:val="24"/>
        </w:rPr>
        <w:t>tenan</w:t>
      </w:r>
      <w:r w:rsidRPr="00C45C13">
        <w:rPr>
          <w:rFonts w:ascii="Times New Roman" w:hAnsi="Times New Roman" w:cs="Times New Roman"/>
          <w:bCs/>
          <w:sz w:val="24"/>
        </w:rPr>
        <w:t xml:space="preserve">t, the </w:t>
      </w:r>
      <w:r>
        <w:rPr>
          <w:rFonts w:ascii="Times New Roman" w:hAnsi="Times New Roman" w:cs="Times New Roman"/>
          <w:bCs/>
          <w:sz w:val="24"/>
        </w:rPr>
        <w:t xml:space="preserve">Housing Authority </w:t>
      </w:r>
      <w:r w:rsidRPr="00C45C13">
        <w:rPr>
          <w:rFonts w:ascii="Times New Roman" w:hAnsi="Times New Roman" w:cs="Times New Roman"/>
          <w:bCs/>
          <w:sz w:val="24"/>
        </w:rPr>
        <w:t>may not rely on such document at the hearing.</w:t>
      </w:r>
      <w:r>
        <w:rPr>
          <w:rStyle w:val="FootnoteReference"/>
          <w:rFonts w:ascii="Times New Roman" w:hAnsi="Times New Roman" w:cs="Times New Roman"/>
          <w:bCs/>
          <w:sz w:val="24"/>
        </w:rPr>
        <w:footnoteReference w:id="21"/>
      </w:r>
    </w:p>
    <w:p w14:paraId="03531771" w14:textId="77777777" w:rsidR="003952A3" w:rsidRDefault="003952A3" w:rsidP="003952A3">
      <w:pPr>
        <w:pStyle w:val="ListParagraph"/>
        <w:spacing w:after="0" w:line="240" w:lineRule="auto"/>
        <w:ind w:left="1440"/>
        <w:contextualSpacing w:val="0"/>
        <w:jc w:val="both"/>
        <w:rPr>
          <w:rFonts w:ascii="Times New Roman" w:hAnsi="Times New Roman" w:cs="Times New Roman"/>
          <w:bCs/>
          <w:sz w:val="24"/>
        </w:rPr>
      </w:pPr>
    </w:p>
    <w:p w14:paraId="6E2EC7FA" w14:textId="5958CA25" w:rsidR="00ED6FE5" w:rsidRDefault="003952A3" w:rsidP="00C9212D">
      <w:pPr>
        <w:pStyle w:val="ListParagraph"/>
        <w:numPr>
          <w:ilvl w:val="1"/>
          <w:numId w:val="4"/>
        </w:numPr>
        <w:spacing w:after="0" w:line="240" w:lineRule="auto"/>
        <w:contextualSpacing w:val="0"/>
        <w:jc w:val="both"/>
        <w:rPr>
          <w:rFonts w:ascii="Times New Roman" w:hAnsi="Times New Roman" w:cs="Times New Roman"/>
          <w:bCs/>
          <w:sz w:val="24"/>
        </w:rPr>
      </w:pPr>
      <w:r>
        <w:rPr>
          <w:rFonts w:ascii="Times New Roman" w:hAnsi="Times New Roman" w:cs="Times New Roman"/>
          <w:bCs/>
          <w:sz w:val="24"/>
        </w:rPr>
        <w:t xml:space="preserve">The </w:t>
      </w:r>
      <w:r w:rsidR="00F318C4">
        <w:rPr>
          <w:rFonts w:ascii="Times New Roman" w:hAnsi="Times New Roman" w:cs="Times New Roman"/>
          <w:bCs/>
          <w:sz w:val="24"/>
        </w:rPr>
        <w:t>tenan</w:t>
      </w:r>
      <w:r>
        <w:rPr>
          <w:rFonts w:ascii="Times New Roman" w:hAnsi="Times New Roman" w:cs="Times New Roman"/>
          <w:bCs/>
          <w:sz w:val="24"/>
        </w:rPr>
        <w:t xml:space="preserve">t shall have the right to </w:t>
      </w:r>
      <w:r w:rsidR="00C45C13" w:rsidRPr="003952A3">
        <w:rPr>
          <w:rFonts w:ascii="Times New Roman" w:hAnsi="Times New Roman" w:cs="Times New Roman"/>
          <w:bCs/>
          <w:sz w:val="24"/>
        </w:rPr>
        <w:t>be represented by counsel or other person chosen as the tenant’s representative and to have such person make statements on the tenant’s behalf</w:t>
      </w:r>
      <w:r>
        <w:rPr>
          <w:rFonts w:ascii="Times New Roman" w:hAnsi="Times New Roman" w:cs="Times New Roman"/>
          <w:bCs/>
          <w:sz w:val="24"/>
        </w:rPr>
        <w:t xml:space="preserve"> at the hearing.</w:t>
      </w:r>
      <w:r>
        <w:rPr>
          <w:rStyle w:val="FootnoteReference"/>
          <w:rFonts w:ascii="Times New Roman" w:hAnsi="Times New Roman" w:cs="Times New Roman"/>
          <w:bCs/>
          <w:sz w:val="24"/>
        </w:rPr>
        <w:footnoteReference w:id="22"/>
      </w:r>
      <w:r>
        <w:rPr>
          <w:rFonts w:ascii="Times New Roman" w:hAnsi="Times New Roman" w:cs="Times New Roman"/>
          <w:bCs/>
          <w:sz w:val="24"/>
        </w:rPr>
        <w:t xml:space="preserve"> </w:t>
      </w:r>
    </w:p>
    <w:p w14:paraId="7A4B649E" w14:textId="77777777" w:rsidR="00ED6FE5" w:rsidRDefault="00ED6FE5" w:rsidP="00ED6FE5">
      <w:pPr>
        <w:pStyle w:val="ListParagraph"/>
        <w:spacing w:after="0" w:line="240" w:lineRule="auto"/>
        <w:ind w:left="1440"/>
        <w:contextualSpacing w:val="0"/>
        <w:jc w:val="both"/>
        <w:rPr>
          <w:rFonts w:ascii="Times New Roman" w:hAnsi="Times New Roman" w:cs="Times New Roman"/>
          <w:bCs/>
          <w:sz w:val="24"/>
        </w:rPr>
      </w:pPr>
    </w:p>
    <w:p w14:paraId="2845B408" w14:textId="13BAA4A7" w:rsidR="00ED6FE5" w:rsidRPr="00ED6FE5" w:rsidRDefault="00ED6FE5" w:rsidP="00C9212D">
      <w:pPr>
        <w:pStyle w:val="ListParagraph"/>
        <w:numPr>
          <w:ilvl w:val="1"/>
          <w:numId w:val="4"/>
        </w:numPr>
        <w:spacing w:after="0" w:line="240" w:lineRule="auto"/>
        <w:contextualSpacing w:val="0"/>
        <w:jc w:val="both"/>
        <w:rPr>
          <w:rFonts w:ascii="Times New Roman" w:hAnsi="Times New Roman" w:cs="Times New Roman"/>
          <w:bCs/>
          <w:sz w:val="24"/>
        </w:rPr>
      </w:pPr>
      <w:r w:rsidRPr="00ED6FE5">
        <w:rPr>
          <w:rFonts w:ascii="Times New Roman" w:hAnsi="Times New Roman" w:cs="Times New Roman"/>
          <w:bCs/>
          <w:sz w:val="24"/>
        </w:rPr>
        <w:t>The Housing Authority shall provide reasonable accommodation to facilitate the participation of persons with disabilities.</w:t>
      </w:r>
      <w:r>
        <w:rPr>
          <w:rStyle w:val="FootnoteReference"/>
          <w:rFonts w:ascii="Times New Roman" w:hAnsi="Times New Roman" w:cs="Times New Roman"/>
          <w:bCs/>
          <w:sz w:val="24"/>
        </w:rPr>
        <w:footnoteReference w:id="23"/>
      </w:r>
    </w:p>
    <w:p w14:paraId="485A9DEE" w14:textId="77777777" w:rsidR="00ED6FE5" w:rsidRDefault="00ED6FE5" w:rsidP="00ED6FE5">
      <w:pPr>
        <w:pStyle w:val="ListParagraph"/>
        <w:spacing w:after="0" w:line="240" w:lineRule="auto"/>
        <w:ind w:left="1440"/>
        <w:contextualSpacing w:val="0"/>
        <w:jc w:val="both"/>
        <w:rPr>
          <w:rFonts w:ascii="Times New Roman" w:hAnsi="Times New Roman" w:cs="Times New Roman"/>
          <w:bCs/>
          <w:sz w:val="24"/>
        </w:rPr>
      </w:pPr>
    </w:p>
    <w:p w14:paraId="393E5B59" w14:textId="77777777" w:rsidR="00ED6FE5" w:rsidRPr="00ED6FE5" w:rsidRDefault="00ED6FE5" w:rsidP="00C9212D">
      <w:pPr>
        <w:pStyle w:val="ListParagraph"/>
        <w:numPr>
          <w:ilvl w:val="1"/>
          <w:numId w:val="4"/>
        </w:numPr>
        <w:spacing w:after="0" w:line="240" w:lineRule="auto"/>
        <w:contextualSpacing w:val="0"/>
        <w:jc w:val="both"/>
        <w:rPr>
          <w:rFonts w:ascii="Times New Roman" w:hAnsi="Times New Roman" w:cs="Times New Roman"/>
          <w:bCs/>
          <w:sz w:val="24"/>
        </w:rPr>
      </w:pPr>
      <w:r w:rsidRPr="00ED6FE5">
        <w:rPr>
          <w:rFonts w:ascii="Times New Roman" w:hAnsi="Times New Roman" w:cs="Times New Roman"/>
          <w:bCs/>
          <w:sz w:val="24"/>
        </w:rPr>
        <w:t>The Housing Authority shall, in accordance with its Language Access Plan, provide language assistance measures to facilitate the participation of persons with Limited English Proficiency.</w:t>
      </w:r>
      <w:r>
        <w:rPr>
          <w:rStyle w:val="FootnoteReference"/>
          <w:rFonts w:ascii="Times New Roman" w:hAnsi="Times New Roman" w:cs="Times New Roman"/>
          <w:bCs/>
          <w:sz w:val="24"/>
        </w:rPr>
        <w:footnoteReference w:id="24"/>
      </w:r>
    </w:p>
    <w:p w14:paraId="3CF96DE1" w14:textId="77777777" w:rsidR="00ED6FE5" w:rsidRDefault="00ED6FE5" w:rsidP="00ED6FE5">
      <w:pPr>
        <w:pStyle w:val="ListParagraph"/>
        <w:spacing w:after="0" w:line="240" w:lineRule="auto"/>
        <w:ind w:left="1440"/>
        <w:contextualSpacing w:val="0"/>
        <w:jc w:val="both"/>
        <w:rPr>
          <w:rFonts w:ascii="Times New Roman" w:hAnsi="Times New Roman" w:cs="Times New Roman"/>
          <w:bCs/>
          <w:sz w:val="24"/>
        </w:rPr>
      </w:pPr>
    </w:p>
    <w:p w14:paraId="19DCAB36" w14:textId="2A36B8A1" w:rsidR="00C45C13" w:rsidRDefault="003952A3" w:rsidP="00C9212D">
      <w:pPr>
        <w:pStyle w:val="ListParagraph"/>
        <w:numPr>
          <w:ilvl w:val="1"/>
          <w:numId w:val="4"/>
        </w:numPr>
        <w:spacing w:after="0" w:line="240" w:lineRule="auto"/>
        <w:contextualSpacing w:val="0"/>
        <w:jc w:val="both"/>
        <w:rPr>
          <w:rFonts w:ascii="Times New Roman" w:hAnsi="Times New Roman" w:cs="Times New Roman"/>
          <w:bCs/>
          <w:sz w:val="24"/>
        </w:rPr>
      </w:pPr>
      <w:r>
        <w:rPr>
          <w:rFonts w:ascii="Times New Roman" w:hAnsi="Times New Roman" w:cs="Times New Roman"/>
          <w:bCs/>
          <w:sz w:val="24"/>
        </w:rPr>
        <w:t xml:space="preserve">The </w:t>
      </w:r>
      <w:r w:rsidR="00F318C4">
        <w:rPr>
          <w:rFonts w:ascii="Times New Roman" w:hAnsi="Times New Roman" w:cs="Times New Roman"/>
          <w:bCs/>
          <w:sz w:val="24"/>
        </w:rPr>
        <w:t>tenant</w:t>
      </w:r>
      <w:r>
        <w:rPr>
          <w:rFonts w:ascii="Times New Roman" w:hAnsi="Times New Roman" w:cs="Times New Roman"/>
          <w:bCs/>
          <w:sz w:val="24"/>
        </w:rPr>
        <w:t xml:space="preserve"> shall have the right to </w:t>
      </w:r>
      <w:r w:rsidR="00C45C13" w:rsidRPr="003952A3">
        <w:rPr>
          <w:rFonts w:ascii="Times New Roman" w:hAnsi="Times New Roman" w:cs="Times New Roman"/>
          <w:bCs/>
          <w:sz w:val="24"/>
        </w:rPr>
        <w:t>a private hearing</w:t>
      </w:r>
      <w:r>
        <w:rPr>
          <w:rFonts w:ascii="Times New Roman" w:hAnsi="Times New Roman" w:cs="Times New Roman"/>
          <w:bCs/>
          <w:sz w:val="24"/>
        </w:rPr>
        <w:t>,</w:t>
      </w:r>
      <w:r w:rsidR="00C45C13" w:rsidRPr="003952A3">
        <w:rPr>
          <w:rFonts w:ascii="Times New Roman" w:hAnsi="Times New Roman" w:cs="Times New Roman"/>
          <w:bCs/>
          <w:sz w:val="24"/>
        </w:rPr>
        <w:t xml:space="preserve"> unless the </w:t>
      </w:r>
      <w:r w:rsidR="00F318C4">
        <w:rPr>
          <w:rFonts w:ascii="Times New Roman" w:hAnsi="Times New Roman" w:cs="Times New Roman"/>
          <w:bCs/>
          <w:sz w:val="24"/>
        </w:rPr>
        <w:t>tenant</w:t>
      </w:r>
      <w:r w:rsidR="00C45C13" w:rsidRPr="003952A3">
        <w:rPr>
          <w:rFonts w:ascii="Times New Roman" w:hAnsi="Times New Roman" w:cs="Times New Roman"/>
          <w:bCs/>
          <w:sz w:val="24"/>
        </w:rPr>
        <w:t xml:space="preserve"> requests a public hearing</w:t>
      </w:r>
      <w:r>
        <w:rPr>
          <w:rFonts w:ascii="Times New Roman" w:hAnsi="Times New Roman" w:cs="Times New Roman"/>
          <w:bCs/>
          <w:sz w:val="24"/>
        </w:rPr>
        <w:t>.</w:t>
      </w:r>
      <w:r>
        <w:rPr>
          <w:rStyle w:val="FootnoteReference"/>
          <w:rFonts w:ascii="Times New Roman" w:hAnsi="Times New Roman" w:cs="Times New Roman"/>
          <w:bCs/>
          <w:sz w:val="24"/>
        </w:rPr>
        <w:footnoteReference w:id="25"/>
      </w:r>
    </w:p>
    <w:p w14:paraId="54561A2B" w14:textId="77777777" w:rsidR="003952A3" w:rsidRDefault="003952A3" w:rsidP="003952A3">
      <w:pPr>
        <w:pStyle w:val="ListParagraph"/>
        <w:spacing w:after="0" w:line="240" w:lineRule="auto"/>
        <w:ind w:left="1440"/>
        <w:contextualSpacing w:val="0"/>
        <w:jc w:val="both"/>
        <w:rPr>
          <w:rFonts w:ascii="Times New Roman" w:hAnsi="Times New Roman" w:cs="Times New Roman"/>
          <w:bCs/>
          <w:sz w:val="24"/>
        </w:rPr>
      </w:pPr>
    </w:p>
    <w:p w14:paraId="1371AF35" w14:textId="01015868" w:rsidR="00ED6FE5" w:rsidRPr="00ED6FE5" w:rsidRDefault="003952A3" w:rsidP="00C9212D">
      <w:pPr>
        <w:pStyle w:val="ListParagraph"/>
        <w:numPr>
          <w:ilvl w:val="1"/>
          <w:numId w:val="4"/>
        </w:numPr>
        <w:spacing w:after="0" w:line="240" w:lineRule="auto"/>
        <w:contextualSpacing w:val="0"/>
        <w:jc w:val="both"/>
        <w:rPr>
          <w:rFonts w:ascii="Times New Roman" w:hAnsi="Times New Roman" w:cs="Times New Roman"/>
          <w:bCs/>
          <w:sz w:val="24"/>
        </w:rPr>
      </w:pPr>
      <w:r>
        <w:rPr>
          <w:rFonts w:ascii="Times New Roman" w:hAnsi="Times New Roman" w:cs="Times New Roman"/>
          <w:bCs/>
          <w:sz w:val="24"/>
        </w:rPr>
        <w:t xml:space="preserve">The </w:t>
      </w:r>
      <w:r w:rsidR="00F318C4">
        <w:rPr>
          <w:rFonts w:ascii="Times New Roman" w:hAnsi="Times New Roman" w:cs="Times New Roman"/>
          <w:bCs/>
          <w:sz w:val="24"/>
        </w:rPr>
        <w:t>tenant s</w:t>
      </w:r>
      <w:r>
        <w:rPr>
          <w:rFonts w:ascii="Times New Roman" w:hAnsi="Times New Roman" w:cs="Times New Roman"/>
          <w:bCs/>
          <w:sz w:val="24"/>
        </w:rPr>
        <w:t>hall have the</w:t>
      </w:r>
      <w:r w:rsidR="00C45C13" w:rsidRPr="003952A3">
        <w:rPr>
          <w:rFonts w:ascii="Times New Roman" w:hAnsi="Times New Roman" w:cs="Times New Roman"/>
          <w:bCs/>
          <w:sz w:val="24"/>
        </w:rPr>
        <w:t xml:space="preserve"> right to present evidence and arguments in support of the </w:t>
      </w:r>
      <w:r>
        <w:rPr>
          <w:rFonts w:ascii="Times New Roman" w:hAnsi="Times New Roman" w:cs="Times New Roman"/>
          <w:bCs/>
          <w:sz w:val="24"/>
        </w:rPr>
        <w:t>grievance</w:t>
      </w:r>
      <w:r w:rsidR="00C45C13" w:rsidRPr="003952A3">
        <w:rPr>
          <w:rFonts w:ascii="Times New Roman" w:hAnsi="Times New Roman" w:cs="Times New Roman"/>
          <w:bCs/>
          <w:sz w:val="24"/>
        </w:rPr>
        <w:t xml:space="preserve">, to controvert evidence relied on by the </w:t>
      </w:r>
      <w:r>
        <w:rPr>
          <w:rFonts w:ascii="Times New Roman" w:hAnsi="Times New Roman" w:cs="Times New Roman"/>
          <w:bCs/>
          <w:sz w:val="24"/>
        </w:rPr>
        <w:t>Housing Authority</w:t>
      </w:r>
      <w:r w:rsidR="00C45C13" w:rsidRPr="003952A3">
        <w:rPr>
          <w:rFonts w:ascii="Times New Roman" w:hAnsi="Times New Roman" w:cs="Times New Roman"/>
          <w:bCs/>
          <w:sz w:val="24"/>
        </w:rPr>
        <w:t xml:space="preserve">, and to confront and cross-examine all witnesses upon whose testimony or information the </w:t>
      </w:r>
      <w:r>
        <w:rPr>
          <w:rFonts w:ascii="Times New Roman" w:hAnsi="Times New Roman" w:cs="Times New Roman"/>
          <w:bCs/>
          <w:sz w:val="24"/>
        </w:rPr>
        <w:t>Housing Authority</w:t>
      </w:r>
      <w:r w:rsidR="00C45C13" w:rsidRPr="003952A3">
        <w:rPr>
          <w:rFonts w:ascii="Times New Roman" w:hAnsi="Times New Roman" w:cs="Times New Roman"/>
          <w:bCs/>
          <w:sz w:val="24"/>
        </w:rPr>
        <w:t xml:space="preserve"> relies</w:t>
      </w:r>
      <w:r>
        <w:rPr>
          <w:rFonts w:ascii="Times New Roman" w:hAnsi="Times New Roman" w:cs="Times New Roman"/>
          <w:bCs/>
          <w:sz w:val="24"/>
        </w:rPr>
        <w:t>.</w:t>
      </w:r>
      <w:r>
        <w:rPr>
          <w:rStyle w:val="FootnoteReference"/>
          <w:rFonts w:ascii="Times New Roman" w:hAnsi="Times New Roman" w:cs="Times New Roman"/>
          <w:bCs/>
          <w:sz w:val="24"/>
        </w:rPr>
        <w:footnoteReference w:id="26"/>
      </w:r>
    </w:p>
    <w:p w14:paraId="70187E92" w14:textId="77777777" w:rsidR="00ED6FE5" w:rsidRDefault="00ED6FE5" w:rsidP="00ED6FE5">
      <w:pPr>
        <w:pStyle w:val="ListParagraph"/>
        <w:spacing w:after="0" w:line="240" w:lineRule="auto"/>
        <w:ind w:left="1440"/>
        <w:contextualSpacing w:val="0"/>
        <w:jc w:val="both"/>
        <w:rPr>
          <w:rFonts w:ascii="Times New Roman" w:hAnsi="Times New Roman" w:cs="Times New Roman"/>
          <w:bCs/>
          <w:sz w:val="24"/>
        </w:rPr>
      </w:pPr>
    </w:p>
    <w:p w14:paraId="773DA3A3" w14:textId="53BA9F8B" w:rsidR="00ED6FE5" w:rsidRDefault="00ED6FE5" w:rsidP="00C9212D">
      <w:pPr>
        <w:pStyle w:val="ListParagraph"/>
        <w:numPr>
          <w:ilvl w:val="1"/>
          <w:numId w:val="4"/>
        </w:numPr>
        <w:spacing w:after="0" w:line="240" w:lineRule="auto"/>
        <w:contextualSpacing w:val="0"/>
        <w:jc w:val="both"/>
        <w:rPr>
          <w:rFonts w:ascii="Times New Roman" w:hAnsi="Times New Roman" w:cs="Times New Roman"/>
          <w:bCs/>
          <w:sz w:val="24"/>
        </w:rPr>
      </w:pPr>
      <w:r>
        <w:rPr>
          <w:rFonts w:ascii="Times New Roman" w:hAnsi="Times New Roman" w:cs="Times New Roman"/>
          <w:bCs/>
          <w:sz w:val="24"/>
        </w:rPr>
        <w:t xml:space="preserve">The </w:t>
      </w:r>
      <w:r w:rsidR="00F318C4">
        <w:rPr>
          <w:rFonts w:ascii="Times New Roman" w:hAnsi="Times New Roman" w:cs="Times New Roman"/>
          <w:bCs/>
          <w:sz w:val="24"/>
        </w:rPr>
        <w:t xml:space="preserve">tenant </w:t>
      </w:r>
      <w:r>
        <w:rPr>
          <w:rFonts w:ascii="Times New Roman" w:hAnsi="Times New Roman" w:cs="Times New Roman"/>
          <w:bCs/>
          <w:sz w:val="24"/>
        </w:rPr>
        <w:t>must first make a showing of an entitlement to the relief sought and thereafter the Housing Authority must sustain the burden of justifying the action or failure to act against which the grievance is directed.</w:t>
      </w:r>
      <w:r>
        <w:rPr>
          <w:rStyle w:val="FootnoteReference"/>
          <w:rFonts w:ascii="Times New Roman" w:hAnsi="Times New Roman" w:cs="Times New Roman"/>
          <w:bCs/>
          <w:sz w:val="24"/>
        </w:rPr>
        <w:footnoteReference w:id="27"/>
      </w:r>
    </w:p>
    <w:p w14:paraId="00622245" w14:textId="77777777" w:rsidR="00ED6FE5" w:rsidRDefault="00ED6FE5" w:rsidP="00ED6FE5">
      <w:pPr>
        <w:pStyle w:val="ListParagraph"/>
        <w:spacing w:after="0" w:line="240" w:lineRule="auto"/>
        <w:ind w:left="1440"/>
        <w:contextualSpacing w:val="0"/>
        <w:jc w:val="both"/>
        <w:rPr>
          <w:rFonts w:ascii="Times New Roman" w:hAnsi="Times New Roman" w:cs="Times New Roman"/>
          <w:bCs/>
          <w:sz w:val="24"/>
        </w:rPr>
      </w:pPr>
    </w:p>
    <w:p w14:paraId="58C2440A" w14:textId="2A23C7D5" w:rsidR="00C45C13" w:rsidRDefault="003952A3" w:rsidP="00C9212D">
      <w:pPr>
        <w:pStyle w:val="ListParagraph"/>
        <w:numPr>
          <w:ilvl w:val="1"/>
          <w:numId w:val="4"/>
        </w:numPr>
        <w:spacing w:after="0" w:line="240" w:lineRule="auto"/>
        <w:contextualSpacing w:val="0"/>
        <w:jc w:val="both"/>
        <w:rPr>
          <w:rFonts w:ascii="Times New Roman" w:hAnsi="Times New Roman" w:cs="Times New Roman"/>
          <w:bCs/>
          <w:sz w:val="24"/>
        </w:rPr>
      </w:pPr>
      <w:r>
        <w:rPr>
          <w:rFonts w:ascii="Times New Roman" w:hAnsi="Times New Roman" w:cs="Times New Roman"/>
          <w:bCs/>
          <w:sz w:val="24"/>
        </w:rPr>
        <w:t xml:space="preserve">The </w:t>
      </w:r>
      <w:r w:rsidR="00F318C4">
        <w:rPr>
          <w:rFonts w:ascii="Times New Roman" w:hAnsi="Times New Roman" w:cs="Times New Roman"/>
          <w:bCs/>
          <w:sz w:val="24"/>
        </w:rPr>
        <w:t>tenant</w:t>
      </w:r>
      <w:r>
        <w:rPr>
          <w:rFonts w:ascii="Times New Roman" w:hAnsi="Times New Roman" w:cs="Times New Roman"/>
          <w:bCs/>
          <w:sz w:val="24"/>
        </w:rPr>
        <w:t xml:space="preserve"> shall have the right to a</w:t>
      </w:r>
      <w:r w:rsidR="00C45C13" w:rsidRPr="003952A3">
        <w:rPr>
          <w:rFonts w:ascii="Times New Roman" w:hAnsi="Times New Roman" w:cs="Times New Roman"/>
          <w:bCs/>
          <w:sz w:val="24"/>
        </w:rPr>
        <w:t xml:space="preserve"> decision based solely and exclusively upon the facts presented at the hearing.</w:t>
      </w:r>
      <w:r>
        <w:rPr>
          <w:rStyle w:val="FootnoteReference"/>
          <w:rFonts w:ascii="Times New Roman" w:hAnsi="Times New Roman" w:cs="Times New Roman"/>
          <w:bCs/>
          <w:sz w:val="24"/>
        </w:rPr>
        <w:footnoteReference w:id="28"/>
      </w:r>
    </w:p>
    <w:p w14:paraId="655BADA1" w14:textId="77777777" w:rsidR="00ED6FE5" w:rsidRDefault="00ED6FE5" w:rsidP="00ED6FE5">
      <w:pPr>
        <w:pStyle w:val="ListParagraph"/>
        <w:spacing w:after="0" w:line="240" w:lineRule="auto"/>
        <w:contextualSpacing w:val="0"/>
        <w:jc w:val="both"/>
        <w:rPr>
          <w:rFonts w:ascii="Times New Roman" w:hAnsi="Times New Roman" w:cs="Times New Roman"/>
          <w:bCs/>
          <w:sz w:val="24"/>
        </w:rPr>
      </w:pPr>
    </w:p>
    <w:p w14:paraId="0479A9D2" w14:textId="2B5C9EA5" w:rsidR="00ED6FE5" w:rsidRPr="00ED6FE5" w:rsidRDefault="00ED6FE5" w:rsidP="00C9212D">
      <w:pPr>
        <w:pStyle w:val="ListParagraph"/>
        <w:numPr>
          <w:ilvl w:val="0"/>
          <w:numId w:val="4"/>
        </w:numPr>
        <w:spacing w:after="0" w:line="240" w:lineRule="auto"/>
        <w:contextualSpacing w:val="0"/>
        <w:jc w:val="both"/>
        <w:rPr>
          <w:rFonts w:ascii="Times New Roman" w:hAnsi="Times New Roman" w:cs="Times New Roman"/>
          <w:bCs/>
          <w:sz w:val="24"/>
        </w:rPr>
      </w:pPr>
      <w:r w:rsidRPr="00ED6FE5">
        <w:rPr>
          <w:rFonts w:ascii="Times New Roman" w:hAnsi="Times New Roman" w:cs="Times New Roman"/>
          <w:bCs/>
          <w:sz w:val="24"/>
        </w:rPr>
        <w:t xml:space="preserve">The </w:t>
      </w:r>
      <w:r w:rsidR="00F318C4">
        <w:rPr>
          <w:rFonts w:ascii="Times New Roman" w:hAnsi="Times New Roman" w:cs="Times New Roman"/>
          <w:bCs/>
          <w:sz w:val="24"/>
        </w:rPr>
        <w:t>tenant</w:t>
      </w:r>
      <w:r w:rsidRPr="00ED6FE5">
        <w:rPr>
          <w:rFonts w:ascii="Times New Roman" w:hAnsi="Times New Roman" w:cs="Times New Roman"/>
          <w:bCs/>
          <w:sz w:val="24"/>
        </w:rPr>
        <w:t xml:space="preserve"> or </w:t>
      </w:r>
      <w:r>
        <w:rPr>
          <w:rFonts w:ascii="Times New Roman" w:hAnsi="Times New Roman" w:cs="Times New Roman"/>
          <w:bCs/>
          <w:sz w:val="24"/>
        </w:rPr>
        <w:t>the Housing Authority</w:t>
      </w:r>
      <w:r w:rsidRPr="00ED6FE5">
        <w:rPr>
          <w:rFonts w:ascii="Times New Roman" w:hAnsi="Times New Roman" w:cs="Times New Roman"/>
          <w:bCs/>
          <w:sz w:val="24"/>
        </w:rPr>
        <w:t xml:space="preserve"> may arrange, in advance and at the expense of the party making the arrangement, for a transcript of the hearing. Any interested party may purchase a copy of such transcript.</w:t>
      </w:r>
      <w:r>
        <w:rPr>
          <w:rStyle w:val="FootnoteReference"/>
          <w:rFonts w:ascii="Times New Roman" w:hAnsi="Times New Roman" w:cs="Times New Roman"/>
          <w:bCs/>
          <w:sz w:val="24"/>
        </w:rPr>
        <w:footnoteReference w:id="29"/>
      </w:r>
    </w:p>
    <w:p w14:paraId="59743271" w14:textId="77777777" w:rsidR="00ED6FE5" w:rsidRDefault="00ED6FE5" w:rsidP="00ED6FE5">
      <w:pPr>
        <w:pStyle w:val="ListParagraph"/>
        <w:spacing w:after="0" w:line="240" w:lineRule="auto"/>
        <w:contextualSpacing w:val="0"/>
        <w:jc w:val="both"/>
        <w:rPr>
          <w:rFonts w:ascii="Times New Roman" w:hAnsi="Times New Roman" w:cs="Times New Roman"/>
          <w:bCs/>
          <w:sz w:val="24"/>
        </w:rPr>
      </w:pPr>
    </w:p>
    <w:p w14:paraId="67EDDF5E" w14:textId="7040B6E4" w:rsidR="003F432B" w:rsidRDefault="003F432B" w:rsidP="00C9212D">
      <w:pPr>
        <w:pStyle w:val="ListParagraph"/>
        <w:numPr>
          <w:ilvl w:val="0"/>
          <w:numId w:val="4"/>
        </w:numPr>
        <w:spacing w:after="0" w:line="240" w:lineRule="auto"/>
        <w:contextualSpacing w:val="0"/>
        <w:jc w:val="both"/>
        <w:rPr>
          <w:rFonts w:ascii="Times New Roman" w:hAnsi="Times New Roman" w:cs="Times New Roman"/>
          <w:bCs/>
          <w:sz w:val="24"/>
        </w:rPr>
      </w:pPr>
      <w:r>
        <w:rPr>
          <w:rFonts w:ascii="Times New Roman" w:hAnsi="Times New Roman" w:cs="Times New Roman"/>
          <w:bCs/>
          <w:sz w:val="24"/>
        </w:rPr>
        <w:t xml:space="preserve">Hearing Officer Decision </w:t>
      </w:r>
    </w:p>
    <w:p w14:paraId="00AE4893" w14:textId="77777777" w:rsidR="00C45C13" w:rsidRDefault="00C45C13" w:rsidP="00C45C13">
      <w:pPr>
        <w:pStyle w:val="ListParagraph"/>
        <w:spacing w:after="0" w:line="240" w:lineRule="auto"/>
        <w:ind w:left="1440"/>
        <w:contextualSpacing w:val="0"/>
        <w:jc w:val="both"/>
        <w:rPr>
          <w:rFonts w:ascii="Times New Roman" w:hAnsi="Times New Roman" w:cs="Times New Roman"/>
          <w:bCs/>
          <w:sz w:val="24"/>
        </w:rPr>
      </w:pPr>
    </w:p>
    <w:p w14:paraId="62BA385F" w14:textId="03FC49F7" w:rsidR="00463349" w:rsidRDefault="00463349" w:rsidP="00C9212D">
      <w:pPr>
        <w:pStyle w:val="ListParagraph"/>
        <w:numPr>
          <w:ilvl w:val="1"/>
          <w:numId w:val="4"/>
        </w:numPr>
        <w:spacing w:after="0" w:line="240" w:lineRule="auto"/>
        <w:contextualSpacing w:val="0"/>
        <w:jc w:val="both"/>
        <w:rPr>
          <w:rFonts w:ascii="Times New Roman" w:hAnsi="Times New Roman" w:cs="Times New Roman"/>
          <w:bCs/>
          <w:sz w:val="24"/>
        </w:rPr>
      </w:pPr>
      <w:r w:rsidRPr="00463349">
        <w:rPr>
          <w:rFonts w:ascii="Times New Roman" w:hAnsi="Times New Roman" w:cs="Times New Roman"/>
          <w:bCs/>
          <w:sz w:val="24"/>
        </w:rPr>
        <w:t xml:space="preserve">The hearing officer must prepare a written decision, including the reasons for the </w:t>
      </w:r>
      <w:r>
        <w:rPr>
          <w:rFonts w:ascii="Times New Roman" w:hAnsi="Times New Roman" w:cs="Times New Roman"/>
          <w:bCs/>
          <w:sz w:val="24"/>
        </w:rPr>
        <w:t>Housing Authority</w:t>
      </w:r>
      <w:r w:rsidRPr="00463349">
        <w:rPr>
          <w:rFonts w:ascii="Times New Roman" w:hAnsi="Times New Roman" w:cs="Times New Roman"/>
          <w:bCs/>
          <w:sz w:val="24"/>
        </w:rPr>
        <w:t>’s decision</w:t>
      </w:r>
      <w:r>
        <w:rPr>
          <w:rFonts w:ascii="Times New Roman" w:hAnsi="Times New Roman" w:cs="Times New Roman"/>
          <w:bCs/>
          <w:sz w:val="24"/>
        </w:rPr>
        <w:t>,</w:t>
      </w:r>
      <w:r w:rsidRPr="00463349">
        <w:rPr>
          <w:rFonts w:ascii="Times New Roman" w:hAnsi="Times New Roman" w:cs="Times New Roman"/>
          <w:bCs/>
          <w:sz w:val="24"/>
        </w:rPr>
        <w:t xml:space="preserve"> within a reasonable time after the hearing.</w:t>
      </w:r>
      <w:r>
        <w:rPr>
          <w:rStyle w:val="FootnoteReference"/>
          <w:rFonts w:ascii="Times New Roman" w:hAnsi="Times New Roman" w:cs="Times New Roman"/>
          <w:bCs/>
          <w:sz w:val="24"/>
        </w:rPr>
        <w:footnoteReference w:id="30"/>
      </w:r>
    </w:p>
    <w:p w14:paraId="45D969C8" w14:textId="77777777" w:rsidR="00463349" w:rsidRDefault="00463349" w:rsidP="00463349">
      <w:pPr>
        <w:pStyle w:val="ListParagraph"/>
        <w:spacing w:after="0" w:line="240" w:lineRule="auto"/>
        <w:ind w:left="1440"/>
        <w:contextualSpacing w:val="0"/>
        <w:jc w:val="both"/>
        <w:rPr>
          <w:rFonts w:ascii="Times New Roman" w:hAnsi="Times New Roman" w:cs="Times New Roman"/>
          <w:bCs/>
          <w:sz w:val="24"/>
        </w:rPr>
      </w:pPr>
    </w:p>
    <w:p w14:paraId="425FED34" w14:textId="2B89C7EB" w:rsidR="00463349" w:rsidRDefault="00463349" w:rsidP="00C9212D">
      <w:pPr>
        <w:pStyle w:val="ListParagraph"/>
        <w:numPr>
          <w:ilvl w:val="1"/>
          <w:numId w:val="4"/>
        </w:numPr>
        <w:spacing w:after="0" w:line="240" w:lineRule="auto"/>
        <w:contextualSpacing w:val="0"/>
        <w:jc w:val="both"/>
        <w:rPr>
          <w:rFonts w:ascii="Times New Roman" w:hAnsi="Times New Roman" w:cs="Times New Roman"/>
          <w:bCs/>
          <w:sz w:val="24"/>
        </w:rPr>
      </w:pPr>
      <w:r w:rsidRPr="00463349">
        <w:rPr>
          <w:rFonts w:ascii="Times New Roman" w:hAnsi="Times New Roman" w:cs="Times New Roman"/>
          <w:bCs/>
          <w:sz w:val="24"/>
        </w:rPr>
        <w:t xml:space="preserve">A copy of the decision must be sent to the </w:t>
      </w:r>
      <w:r w:rsidR="00F318C4">
        <w:rPr>
          <w:rFonts w:ascii="Times New Roman" w:hAnsi="Times New Roman" w:cs="Times New Roman"/>
          <w:bCs/>
          <w:sz w:val="24"/>
        </w:rPr>
        <w:t xml:space="preserve">tenant </w:t>
      </w:r>
      <w:r w:rsidRPr="00463349">
        <w:rPr>
          <w:rFonts w:ascii="Times New Roman" w:hAnsi="Times New Roman" w:cs="Times New Roman"/>
          <w:bCs/>
          <w:sz w:val="24"/>
        </w:rPr>
        <w:t xml:space="preserve">and the </w:t>
      </w:r>
      <w:r>
        <w:rPr>
          <w:rFonts w:ascii="Times New Roman" w:hAnsi="Times New Roman" w:cs="Times New Roman"/>
          <w:bCs/>
          <w:sz w:val="24"/>
        </w:rPr>
        <w:t>Housing Authority</w:t>
      </w:r>
      <w:r w:rsidRPr="00463349">
        <w:rPr>
          <w:rFonts w:ascii="Times New Roman" w:hAnsi="Times New Roman" w:cs="Times New Roman"/>
          <w:bCs/>
          <w:sz w:val="24"/>
        </w:rPr>
        <w:t>.</w:t>
      </w:r>
      <w:r>
        <w:rPr>
          <w:rStyle w:val="FootnoteReference"/>
          <w:rFonts w:ascii="Times New Roman" w:hAnsi="Times New Roman" w:cs="Times New Roman"/>
          <w:bCs/>
          <w:sz w:val="24"/>
        </w:rPr>
        <w:footnoteReference w:id="31"/>
      </w:r>
    </w:p>
    <w:p w14:paraId="751BB928" w14:textId="77777777" w:rsidR="00463349" w:rsidRPr="00463349" w:rsidRDefault="00463349" w:rsidP="00463349">
      <w:pPr>
        <w:pStyle w:val="ListParagraph"/>
        <w:rPr>
          <w:rFonts w:ascii="Times New Roman" w:hAnsi="Times New Roman" w:cs="Times New Roman"/>
          <w:bCs/>
          <w:sz w:val="24"/>
        </w:rPr>
      </w:pPr>
    </w:p>
    <w:p w14:paraId="2B346057" w14:textId="0D450611" w:rsidR="00463349" w:rsidRDefault="00463349" w:rsidP="00C9212D">
      <w:pPr>
        <w:pStyle w:val="ListParagraph"/>
        <w:numPr>
          <w:ilvl w:val="2"/>
          <w:numId w:val="4"/>
        </w:numPr>
        <w:spacing w:after="0" w:line="240" w:lineRule="auto"/>
        <w:contextualSpacing w:val="0"/>
        <w:jc w:val="both"/>
        <w:rPr>
          <w:rFonts w:ascii="Times New Roman" w:hAnsi="Times New Roman" w:cs="Times New Roman"/>
          <w:bCs/>
          <w:sz w:val="24"/>
        </w:rPr>
      </w:pPr>
      <w:r w:rsidRPr="00463349">
        <w:rPr>
          <w:rFonts w:ascii="Times New Roman" w:hAnsi="Times New Roman" w:cs="Times New Roman"/>
          <w:bCs/>
          <w:sz w:val="24"/>
        </w:rPr>
        <w:t xml:space="preserve">The </w:t>
      </w:r>
      <w:r>
        <w:rPr>
          <w:rFonts w:ascii="Times New Roman" w:hAnsi="Times New Roman" w:cs="Times New Roman"/>
          <w:bCs/>
          <w:sz w:val="24"/>
        </w:rPr>
        <w:t xml:space="preserve">Housing Authority </w:t>
      </w:r>
      <w:r w:rsidRPr="00463349">
        <w:rPr>
          <w:rFonts w:ascii="Times New Roman" w:hAnsi="Times New Roman" w:cs="Times New Roman"/>
          <w:bCs/>
          <w:sz w:val="24"/>
        </w:rPr>
        <w:t>must retain a copy of the decision in the tenant’s folder.</w:t>
      </w:r>
      <w:r>
        <w:rPr>
          <w:rStyle w:val="FootnoteReference"/>
          <w:rFonts w:ascii="Times New Roman" w:hAnsi="Times New Roman" w:cs="Times New Roman"/>
          <w:bCs/>
          <w:sz w:val="24"/>
        </w:rPr>
        <w:footnoteReference w:id="32"/>
      </w:r>
    </w:p>
    <w:p w14:paraId="37B5F9E8" w14:textId="77777777" w:rsidR="00463349" w:rsidRDefault="00463349" w:rsidP="00463349">
      <w:pPr>
        <w:pStyle w:val="ListParagraph"/>
        <w:spacing w:after="0" w:line="240" w:lineRule="auto"/>
        <w:ind w:left="2160"/>
        <w:contextualSpacing w:val="0"/>
        <w:jc w:val="both"/>
        <w:rPr>
          <w:rFonts w:ascii="Times New Roman" w:hAnsi="Times New Roman" w:cs="Times New Roman"/>
          <w:bCs/>
          <w:sz w:val="24"/>
        </w:rPr>
      </w:pPr>
    </w:p>
    <w:p w14:paraId="45DBC9BA" w14:textId="4D9C1EF9" w:rsidR="00463349" w:rsidRDefault="00463349" w:rsidP="00C9212D">
      <w:pPr>
        <w:pStyle w:val="ListParagraph"/>
        <w:numPr>
          <w:ilvl w:val="2"/>
          <w:numId w:val="4"/>
        </w:numPr>
        <w:spacing w:after="0" w:line="240" w:lineRule="auto"/>
        <w:contextualSpacing w:val="0"/>
        <w:jc w:val="both"/>
        <w:rPr>
          <w:rFonts w:ascii="Times New Roman" w:hAnsi="Times New Roman" w:cs="Times New Roman"/>
          <w:bCs/>
          <w:sz w:val="24"/>
        </w:rPr>
      </w:pPr>
      <w:r w:rsidRPr="00463349">
        <w:rPr>
          <w:rFonts w:ascii="Times New Roman" w:hAnsi="Times New Roman" w:cs="Times New Roman"/>
          <w:bCs/>
          <w:sz w:val="24"/>
        </w:rPr>
        <w:t xml:space="preserve">The </w:t>
      </w:r>
      <w:r>
        <w:rPr>
          <w:rFonts w:ascii="Times New Roman" w:hAnsi="Times New Roman" w:cs="Times New Roman"/>
          <w:bCs/>
          <w:sz w:val="24"/>
        </w:rPr>
        <w:t>Housing Authority</w:t>
      </w:r>
      <w:r w:rsidRPr="00463349">
        <w:rPr>
          <w:rFonts w:ascii="Times New Roman" w:hAnsi="Times New Roman" w:cs="Times New Roman"/>
          <w:bCs/>
          <w:sz w:val="24"/>
        </w:rPr>
        <w:t xml:space="preserve"> must maintain a log of all hearing officer decisions and make that log available upon request of the hearing officer, a prospective </w:t>
      </w:r>
      <w:r w:rsidR="00F318C4">
        <w:rPr>
          <w:rFonts w:ascii="Times New Roman" w:hAnsi="Times New Roman" w:cs="Times New Roman"/>
          <w:bCs/>
          <w:sz w:val="24"/>
        </w:rPr>
        <w:t>tenan</w:t>
      </w:r>
      <w:r w:rsidRPr="00463349">
        <w:rPr>
          <w:rFonts w:ascii="Times New Roman" w:hAnsi="Times New Roman" w:cs="Times New Roman"/>
          <w:bCs/>
          <w:sz w:val="24"/>
        </w:rPr>
        <w:t xml:space="preserve">t, or a prospective </w:t>
      </w:r>
      <w:r w:rsidR="00F318C4">
        <w:rPr>
          <w:rFonts w:ascii="Times New Roman" w:hAnsi="Times New Roman" w:cs="Times New Roman"/>
          <w:bCs/>
          <w:sz w:val="24"/>
        </w:rPr>
        <w:t>tenan</w:t>
      </w:r>
      <w:r w:rsidRPr="00463349">
        <w:rPr>
          <w:rFonts w:ascii="Times New Roman" w:hAnsi="Times New Roman" w:cs="Times New Roman"/>
          <w:bCs/>
          <w:sz w:val="24"/>
        </w:rPr>
        <w:t>t’s representative.</w:t>
      </w:r>
      <w:r>
        <w:rPr>
          <w:rStyle w:val="FootnoteReference"/>
          <w:rFonts w:ascii="Times New Roman" w:hAnsi="Times New Roman" w:cs="Times New Roman"/>
          <w:bCs/>
          <w:sz w:val="24"/>
        </w:rPr>
        <w:footnoteReference w:id="33"/>
      </w:r>
    </w:p>
    <w:p w14:paraId="492D57DD" w14:textId="77777777" w:rsidR="00463349" w:rsidRPr="00463349" w:rsidRDefault="00463349" w:rsidP="00463349">
      <w:pPr>
        <w:pStyle w:val="ListParagraph"/>
        <w:rPr>
          <w:rFonts w:ascii="Times New Roman" w:hAnsi="Times New Roman" w:cs="Times New Roman"/>
          <w:bCs/>
          <w:sz w:val="24"/>
        </w:rPr>
      </w:pPr>
    </w:p>
    <w:p w14:paraId="4A98F00F" w14:textId="3C0CE0AF" w:rsidR="00463349" w:rsidRPr="00F318C4" w:rsidRDefault="00463349" w:rsidP="00C9212D">
      <w:pPr>
        <w:pStyle w:val="ListParagraph"/>
        <w:numPr>
          <w:ilvl w:val="1"/>
          <w:numId w:val="4"/>
        </w:numPr>
        <w:spacing w:after="0" w:line="240" w:lineRule="auto"/>
        <w:contextualSpacing w:val="0"/>
        <w:jc w:val="both"/>
        <w:rPr>
          <w:rFonts w:ascii="Times New Roman" w:hAnsi="Times New Roman" w:cs="Times New Roman"/>
          <w:bCs/>
          <w:sz w:val="24"/>
        </w:rPr>
      </w:pPr>
      <w:r w:rsidRPr="00463349">
        <w:rPr>
          <w:rFonts w:ascii="Times New Roman" w:hAnsi="Times New Roman" w:cs="Times New Roman"/>
          <w:bCs/>
          <w:sz w:val="24"/>
        </w:rPr>
        <w:t xml:space="preserve">The decision of the hearing officer will be binding on the </w:t>
      </w:r>
      <w:r>
        <w:rPr>
          <w:rFonts w:ascii="Times New Roman" w:hAnsi="Times New Roman" w:cs="Times New Roman"/>
          <w:bCs/>
          <w:sz w:val="24"/>
        </w:rPr>
        <w:t>Housing Authority</w:t>
      </w:r>
      <w:r w:rsidRPr="00463349">
        <w:rPr>
          <w:rFonts w:ascii="Times New Roman" w:hAnsi="Times New Roman" w:cs="Times New Roman"/>
          <w:bCs/>
          <w:sz w:val="24"/>
        </w:rPr>
        <w:t xml:space="preserve"> unless the </w:t>
      </w:r>
      <w:r>
        <w:rPr>
          <w:rFonts w:ascii="Times New Roman" w:hAnsi="Times New Roman" w:cs="Times New Roman"/>
          <w:bCs/>
          <w:sz w:val="24"/>
        </w:rPr>
        <w:t>Housing Authority’s</w:t>
      </w:r>
      <w:r w:rsidRPr="00463349">
        <w:rPr>
          <w:rFonts w:ascii="Times New Roman" w:hAnsi="Times New Roman" w:cs="Times New Roman"/>
          <w:bCs/>
          <w:sz w:val="24"/>
        </w:rPr>
        <w:t xml:space="preserve"> Board of Commissioners </w:t>
      </w:r>
      <w:r w:rsidRPr="00F318C4">
        <w:rPr>
          <w:rFonts w:ascii="Times New Roman" w:hAnsi="Times New Roman" w:cs="Times New Roman"/>
          <w:bCs/>
          <w:sz w:val="24"/>
        </w:rPr>
        <w:t xml:space="preserve">determines that: (1) the grievance does not concern Housing Authority action or failure to act in accordance with or involving the lease or Housing Authority regulations, which adversely affects the </w:t>
      </w:r>
      <w:r w:rsidR="00F318C4" w:rsidRPr="00F318C4">
        <w:rPr>
          <w:rFonts w:ascii="Times New Roman" w:hAnsi="Times New Roman" w:cs="Times New Roman"/>
          <w:bCs/>
          <w:sz w:val="24"/>
        </w:rPr>
        <w:t>tenant</w:t>
      </w:r>
      <w:r w:rsidRPr="00F318C4">
        <w:rPr>
          <w:rFonts w:ascii="Times New Roman" w:hAnsi="Times New Roman" w:cs="Times New Roman"/>
          <w:bCs/>
          <w:sz w:val="24"/>
        </w:rPr>
        <w:t>’s rights, duties, welfare</w:t>
      </w:r>
      <w:r w:rsidR="00F318C4" w:rsidRPr="00F318C4">
        <w:rPr>
          <w:rFonts w:ascii="Times New Roman" w:hAnsi="Times New Roman" w:cs="Times New Roman"/>
          <w:bCs/>
          <w:sz w:val="24"/>
        </w:rPr>
        <w:t>,</w:t>
      </w:r>
      <w:r w:rsidRPr="00F318C4">
        <w:rPr>
          <w:rFonts w:ascii="Times New Roman" w:hAnsi="Times New Roman" w:cs="Times New Roman"/>
          <w:bCs/>
          <w:sz w:val="24"/>
        </w:rPr>
        <w:t xml:space="preserve"> or status; or (2) the decision of the hearing officer is contrary to applicable Federal, State or local law, HUD regulations or requirements of the annual contributions contract between HUD and the Housing Authority.</w:t>
      </w:r>
      <w:r w:rsidRPr="00F318C4">
        <w:rPr>
          <w:rStyle w:val="FootnoteReference"/>
          <w:rFonts w:ascii="Times New Roman" w:hAnsi="Times New Roman" w:cs="Times New Roman"/>
          <w:bCs/>
          <w:sz w:val="24"/>
        </w:rPr>
        <w:footnoteReference w:id="34"/>
      </w:r>
    </w:p>
    <w:p w14:paraId="36D98137" w14:textId="77777777" w:rsidR="00463349" w:rsidRDefault="00463349" w:rsidP="00463349">
      <w:pPr>
        <w:pStyle w:val="ListParagraph"/>
        <w:spacing w:after="0" w:line="240" w:lineRule="auto"/>
        <w:ind w:left="1440"/>
        <w:contextualSpacing w:val="0"/>
        <w:jc w:val="both"/>
        <w:rPr>
          <w:rFonts w:ascii="Times New Roman" w:hAnsi="Times New Roman" w:cs="Times New Roman"/>
          <w:bCs/>
          <w:sz w:val="24"/>
        </w:rPr>
      </w:pPr>
    </w:p>
    <w:p w14:paraId="20FB0563" w14:textId="65EAB7C3" w:rsidR="00463349" w:rsidRPr="00463349" w:rsidRDefault="00463349" w:rsidP="00C9212D">
      <w:pPr>
        <w:pStyle w:val="ListParagraph"/>
        <w:numPr>
          <w:ilvl w:val="1"/>
          <w:numId w:val="4"/>
        </w:numPr>
        <w:spacing w:after="0" w:line="240" w:lineRule="auto"/>
        <w:contextualSpacing w:val="0"/>
        <w:jc w:val="both"/>
        <w:rPr>
          <w:rFonts w:ascii="Times New Roman" w:hAnsi="Times New Roman" w:cs="Times New Roman"/>
          <w:bCs/>
          <w:sz w:val="24"/>
        </w:rPr>
      </w:pPr>
      <w:r w:rsidRPr="00463349">
        <w:rPr>
          <w:rFonts w:ascii="Times New Roman" w:hAnsi="Times New Roman" w:cs="Times New Roman"/>
          <w:bCs/>
          <w:sz w:val="24"/>
        </w:rPr>
        <w:t xml:space="preserve">A decision by the hearing officer or Board of Commissioners in favor of the </w:t>
      </w:r>
      <w:r>
        <w:rPr>
          <w:rFonts w:ascii="Times New Roman" w:hAnsi="Times New Roman" w:cs="Times New Roman"/>
          <w:bCs/>
          <w:sz w:val="24"/>
        </w:rPr>
        <w:t>Housing Authority</w:t>
      </w:r>
      <w:r w:rsidRPr="00463349">
        <w:rPr>
          <w:rFonts w:ascii="Times New Roman" w:hAnsi="Times New Roman" w:cs="Times New Roman"/>
          <w:bCs/>
          <w:sz w:val="24"/>
        </w:rPr>
        <w:t xml:space="preserve"> or which denies the relief requested by the </w:t>
      </w:r>
      <w:r w:rsidR="00F318C4">
        <w:rPr>
          <w:rFonts w:ascii="Times New Roman" w:hAnsi="Times New Roman" w:cs="Times New Roman"/>
          <w:bCs/>
          <w:sz w:val="24"/>
        </w:rPr>
        <w:t xml:space="preserve">tenant </w:t>
      </w:r>
      <w:r w:rsidRPr="00463349">
        <w:rPr>
          <w:rFonts w:ascii="Times New Roman" w:hAnsi="Times New Roman" w:cs="Times New Roman"/>
          <w:bCs/>
          <w:sz w:val="24"/>
        </w:rPr>
        <w:t xml:space="preserve">in whole or in part will not constitute a waiver of, nor affect in any manner whatever, any rights the </w:t>
      </w:r>
      <w:r w:rsidR="00F318C4">
        <w:rPr>
          <w:rFonts w:ascii="Times New Roman" w:hAnsi="Times New Roman" w:cs="Times New Roman"/>
          <w:bCs/>
          <w:sz w:val="24"/>
        </w:rPr>
        <w:t>tenant</w:t>
      </w:r>
      <w:r w:rsidRPr="00463349">
        <w:rPr>
          <w:rFonts w:ascii="Times New Roman" w:hAnsi="Times New Roman" w:cs="Times New Roman"/>
          <w:bCs/>
          <w:sz w:val="24"/>
        </w:rPr>
        <w:t xml:space="preserve"> may have to a trial de novo or judicial review in any judicial proceedings, which may thereafter be brought in the matter.</w:t>
      </w:r>
      <w:r>
        <w:rPr>
          <w:rStyle w:val="FootnoteReference"/>
          <w:rFonts w:ascii="Times New Roman" w:hAnsi="Times New Roman" w:cs="Times New Roman"/>
          <w:bCs/>
          <w:sz w:val="24"/>
        </w:rPr>
        <w:footnoteReference w:id="35"/>
      </w:r>
    </w:p>
    <w:p w14:paraId="52EBEE75" w14:textId="77777777" w:rsidR="00463349" w:rsidRPr="00F613CD" w:rsidRDefault="00463349" w:rsidP="00F613CD">
      <w:pPr>
        <w:pStyle w:val="ListParagraph"/>
        <w:spacing w:after="0" w:line="240" w:lineRule="auto"/>
        <w:contextualSpacing w:val="0"/>
        <w:jc w:val="both"/>
        <w:rPr>
          <w:rFonts w:ascii="Times New Roman" w:hAnsi="Times New Roman" w:cs="Times New Roman"/>
          <w:bCs/>
          <w:sz w:val="24"/>
        </w:rPr>
      </w:pPr>
    </w:p>
    <w:p w14:paraId="074DC93A" w14:textId="0EF9F7C4" w:rsidR="004D3BB9" w:rsidRPr="00F613CD" w:rsidRDefault="003F432B" w:rsidP="00F613CD">
      <w:pPr>
        <w:pStyle w:val="Heading1"/>
        <w:contextualSpacing w:val="0"/>
      </w:pPr>
      <w:bookmarkStart w:id="5" w:name="_Toc181202726"/>
      <w:r>
        <w:t>Implementation</w:t>
      </w:r>
      <w:bookmarkEnd w:id="5"/>
    </w:p>
    <w:p w14:paraId="39DC2442" w14:textId="77777777" w:rsidR="00F613CD" w:rsidRPr="00F613CD" w:rsidRDefault="00F613CD" w:rsidP="00F613CD">
      <w:pPr>
        <w:pStyle w:val="ListParagraph"/>
        <w:spacing w:after="0" w:line="240" w:lineRule="auto"/>
        <w:contextualSpacing w:val="0"/>
        <w:jc w:val="both"/>
        <w:rPr>
          <w:rFonts w:ascii="Times New Roman" w:eastAsia="Calibri" w:hAnsi="Times New Roman" w:cs="Times New Roman"/>
          <w:sz w:val="24"/>
          <w:szCs w:val="24"/>
        </w:rPr>
      </w:pPr>
    </w:p>
    <w:p w14:paraId="7B78D8C3" w14:textId="4EB77101" w:rsidR="004D3BB9" w:rsidRPr="003F432B" w:rsidRDefault="003F432B" w:rsidP="00C9212D">
      <w:pPr>
        <w:pStyle w:val="ListParagraph"/>
        <w:numPr>
          <w:ilvl w:val="0"/>
          <w:numId w:val="5"/>
        </w:numPr>
        <w:spacing w:after="0" w:line="240" w:lineRule="auto"/>
        <w:contextualSpacing w:val="0"/>
        <w:jc w:val="both"/>
        <w:rPr>
          <w:rFonts w:ascii="Times New Roman" w:hAnsi="Times New Roman" w:cs="Times New Roman"/>
          <w:bCs/>
          <w:sz w:val="24"/>
          <w:szCs w:val="24"/>
        </w:rPr>
      </w:pPr>
      <w:r w:rsidRPr="003F432B">
        <w:rPr>
          <w:rFonts w:ascii="Times New Roman" w:eastAsia="Calibri" w:hAnsi="Times New Roman" w:cs="Times New Roman"/>
          <w:sz w:val="24"/>
          <w:szCs w:val="24"/>
        </w:rPr>
        <w:t xml:space="preserve">The </w:t>
      </w:r>
      <w:r>
        <w:rPr>
          <w:rFonts w:ascii="Times New Roman" w:eastAsia="Calibri" w:hAnsi="Times New Roman" w:cs="Times New Roman"/>
          <w:sz w:val="24"/>
          <w:szCs w:val="24"/>
        </w:rPr>
        <w:t>G</w:t>
      </w:r>
      <w:r w:rsidRPr="003F432B">
        <w:rPr>
          <w:rFonts w:ascii="Times New Roman" w:eastAsia="Calibri" w:hAnsi="Times New Roman" w:cs="Times New Roman"/>
          <w:sz w:val="24"/>
          <w:szCs w:val="24"/>
        </w:rPr>
        <w:t xml:space="preserve">rievance </w:t>
      </w:r>
      <w:r>
        <w:rPr>
          <w:rFonts w:ascii="Times New Roman" w:eastAsia="Calibri" w:hAnsi="Times New Roman" w:cs="Times New Roman"/>
          <w:sz w:val="24"/>
          <w:szCs w:val="24"/>
        </w:rPr>
        <w:t>P</w:t>
      </w:r>
      <w:r w:rsidRPr="003F432B">
        <w:rPr>
          <w:rFonts w:ascii="Times New Roman" w:eastAsia="Calibri" w:hAnsi="Times New Roman" w:cs="Times New Roman"/>
          <w:sz w:val="24"/>
          <w:szCs w:val="24"/>
        </w:rPr>
        <w:t>rocedure shall be included in, or incorporated by reference in, all tenant dwelling leases.</w:t>
      </w:r>
      <w:r>
        <w:rPr>
          <w:rStyle w:val="FootnoteReference"/>
          <w:rFonts w:ascii="Times New Roman" w:eastAsia="Calibri" w:hAnsi="Times New Roman" w:cs="Times New Roman"/>
          <w:sz w:val="24"/>
          <w:szCs w:val="24"/>
        </w:rPr>
        <w:footnoteReference w:id="36"/>
      </w:r>
    </w:p>
    <w:p w14:paraId="2C86E9C8" w14:textId="77777777" w:rsidR="003F432B" w:rsidRDefault="003F432B" w:rsidP="003F432B">
      <w:pPr>
        <w:pStyle w:val="ListParagraph"/>
        <w:spacing w:after="0" w:line="240" w:lineRule="auto"/>
        <w:contextualSpacing w:val="0"/>
        <w:jc w:val="both"/>
        <w:rPr>
          <w:rFonts w:ascii="Times New Roman" w:hAnsi="Times New Roman" w:cs="Times New Roman"/>
          <w:bCs/>
          <w:sz w:val="24"/>
          <w:szCs w:val="24"/>
        </w:rPr>
      </w:pPr>
    </w:p>
    <w:p w14:paraId="2BB3BEAB" w14:textId="1493D73B" w:rsidR="003F432B" w:rsidRPr="00F613CD" w:rsidRDefault="003F432B" w:rsidP="00C9212D">
      <w:pPr>
        <w:pStyle w:val="ListParagraph"/>
        <w:numPr>
          <w:ilvl w:val="0"/>
          <w:numId w:val="5"/>
        </w:numPr>
        <w:spacing w:after="0" w:line="240" w:lineRule="auto"/>
        <w:contextualSpacing w:val="0"/>
        <w:jc w:val="both"/>
        <w:rPr>
          <w:rFonts w:ascii="Times New Roman" w:hAnsi="Times New Roman" w:cs="Times New Roman"/>
          <w:bCs/>
          <w:sz w:val="24"/>
          <w:szCs w:val="24"/>
        </w:rPr>
      </w:pPr>
      <w:r w:rsidRPr="003F432B">
        <w:rPr>
          <w:rFonts w:ascii="Times New Roman" w:hAnsi="Times New Roman" w:cs="Times New Roman"/>
          <w:bCs/>
          <w:sz w:val="24"/>
          <w:szCs w:val="24"/>
        </w:rPr>
        <w:t xml:space="preserve">The </w:t>
      </w:r>
      <w:r>
        <w:rPr>
          <w:rFonts w:ascii="Times New Roman" w:hAnsi="Times New Roman" w:cs="Times New Roman"/>
          <w:bCs/>
          <w:sz w:val="24"/>
          <w:szCs w:val="24"/>
        </w:rPr>
        <w:t>Housing Authority</w:t>
      </w:r>
      <w:r w:rsidRPr="003F432B">
        <w:rPr>
          <w:rFonts w:ascii="Times New Roman" w:hAnsi="Times New Roman" w:cs="Times New Roman"/>
          <w:bCs/>
          <w:sz w:val="24"/>
          <w:szCs w:val="24"/>
        </w:rPr>
        <w:t xml:space="preserve"> shall furnish a copy of the </w:t>
      </w:r>
      <w:r>
        <w:rPr>
          <w:rFonts w:ascii="Times New Roman" w:hAnsi="Times New Roman" w:cs="Times New Roman"/>
          <w:bCs/>
          <w:sz w:val="24"/>
          <w:szCs w:val="24"/>
        </w:rPr>
        <w:t>G</w:t>
      </w:r>
      <w:r w:rsidRPr="003F432B">
        <w:rPr>
          <w:rFonts w:ascii="Times New Roman" w:hAnsi="Times New Roman" w:cs="Times New Roman"/>
          <w:bCs/>
          <w:sz w:val="24"/>
          <w:szCs w:val="24"/>
        </w:rPr>
        <w:t xml:space="preserve">rievance </w:t>
      </w:r>
      <w:r>
        <w:rPr>
          <w:rFonts w:ascii="Times New Roman" w:hAnsi="Times New Roman" w:cs="Times New Roman"/>
          <w:bCs/>
          <w:sz w:val="24"/>
          <w:szCs w:val="24"/>
        </w:rPr>
        <w:t>P</w:t>
      </w:r>
      <w:r w:rsidRPr="003F432B">
        <w:rPr>
          <w:rFonts w:ascii="Times New Roman" w:hAnsi="Times New Roman" w:cs="Times New Roman"/>
          <w:bCs/>
          <w:sz w:val="24"/>
          <w:szCs w:val="24"/>
        </w:rPr>
        <w:t>rocedure to each tenant and to resident organizations.</w:t>
      </w:r>
      <w:r>
        <w:rPr>
          <w:rStyle w:val="FootnoteReference"/>
          <w:rFonts w:ascii="Times New Roman" w:hAnsi="Times New Roman" w:cs="Times New Roman"/>
          <w:bCs/>
          <w:sz w:val="24"/>
          <w:szCs w:val="24"/>
        </w:rPr>
        <w:footnoteReference w:id="37"/>
      </w:r>
    </w:p>
    <w:p w14:paraId="63E9187C" w14:textId="77777777" w:rsidR="0010018B" w:rsidRPr="00F613CD" w:rsidRDefault="0010018B" w:rsidP="00F613CD">
      <w:pPr>
        <w:spacing w:after="0" w:line="240" w:lineRule="auto"/>
        <w:jc w:val="both"/>
        <w:rPr>
          <w:rFonts w:ascii="Times New Roman" w:hAnsi="Times New Roman" w:cs="Times New Roman"/>
          <w:bCs/>
          <w:sz w:val="24"/>
          <w:szCs w:val="24"/>
        </w:rPr>
      </w:pPr>
    </w:p>
    <w:p w14:paraId="1EC694E9" w14:textId="4017AC81" w:rsidR="00AD3E5B" w:rsidRPr="00F613CD" w:rsidRDefault="00AD3E5B" w:rsidP="00F613CD">
      <w:pPr>
        <w:pStyle w:val="Heading1"/>
        <w:contextualSpacing w:val="0"/>
      </w:pPr>
      <w:bookmarkStart w:id="6" w:name="_Toc181202727"/>
      <w:r w:rsidRPr="00F613CD">
        <w:t>Amendments and Revisions</w:t>
      </w:r>
      <w:bookmarkEnd w:id="6"/>
    </w:p>
    <w:p w14:paraId="434B6B69" w14:textId="77777777" w:rsidR="00AD3E5B" w:rsidRPr="00F613CD" w:rsidRDefault="00AD3E5B" w:rsidP="00F613CD">
      <w:pPr>
        <w:spacing w:after="0" w:line="240" w:lineRule="auto"/>
        <w:jc w:val="both"/>
        <w:rPr>
          <w:rFonts w:ascii="Times New Roman" w:hAnsi="Times New Roman" w:cs="Times New Roman"/>
          <w:sz w:val="24"/>
          <w:szCs w:val="24"/>
        </w:rPr>
      </w:pPr>
    </w:p>
    <w:p w14:paraId="6FE5FCE2" w14:textId="67616839" w:rsidR="003F432B" w:rsidRPr="00F613CD" w:rsidRDefault="00061625" w:rsidP="00F613CD">
      <w:pPr>
        <w:spacing w:after="0" w:line="240" w:lineRule="auto"/>
        <w:jc w:val="both"/>
        <w:rPr>
          <w:rFonts w:ascii="Times New Roman" w:eastAsia="Times New Roman" w:hAnsi="Times New Roman" w:cs="Times New Roman"/>
          <w:sz w:val="24"/>
          <w:szCs w:val="24"/>
          <w:shd w:val="clear" w:color="auto" w:fill="FFFFFF"/>
        </w:rPr>
      </w:pPr>
      <w:r w:rsidRPr="00F613CD">
        <w:rPr>
          <w:rFonts w:ascii="Times New Roman" w:eastAsia="Times New Roman" w:hAnsi="Times New Roman" w:cs="Times New Roman"/>
          <w:sz w:val="24"/>
          <w:szCs w:val="24"/>
          <w:shd w:val="clear" w:color="auto" w:fill="FFFFFF"/>
        </w:rPr>
        <w:t xml:space="preserve">The </w:t>
      </w:r>
      <w:r w:rsidR="00215BD5">
        <w:rPr>
          <w:rFonts w:ascii="Times New Roman" w:eastAsia="Times New Roman" w:hAnsi="Times New Roman" w:cs="Times New Roman"/>
          <w:sz w:val="24"/>
          <w:szCs w:val="24"/>
          <w:shd w:val="clear" w:color="auto" w:fill="FFFFFF"/>
        </w:rPr>
        <w:t>Grievance Procedure</w:t>
      </w:r>
      <w:r w:rsidR="00AD3E5B" w:rsidRPr="00F613CD">
        <w:rPr>
          <w:rFonts w:ascii="Times New Roman" w:eastAsia="Times New Roman" w:hAnsi="Times New Roman" w:cs="Times New Roman"/>
          <w:sz w:val="24"/>
          <w:szCs w:val="24"/>
          <w:shd w:val="clear" w:color="auto" w:fill="FFFFFF"/>
        </w:rPr>
        <w:t xml:space="preserve"> may be amended or revised from time to time by the </w:t>
      </w:r>
      <w:r w:rsidR="007F04D8" w:rsidRPr="00F613CD">
        <w:rPr>
          <w:rFonts w:ascii="Times New Roman" w:eastAsia="Times New Roman" w:hAnsi="Times New Roman" w:cs="Times New Roman"/>
          <w:sz w:val="24"/>
          <w:szCs w:val="24"/>
        </w:rPr>
        <w:t>Housing Authority</w:t>
      </w:r>
      <w:r w:rsidR="00EA6BD1" w:rsidRPr="00F613CD">
        <w:rPr>
          <w:rFonts w:ascii="Times New Roman" w:eastAsia="Times New Roman" w:hAnsi="Times New Roman" w:cs="Times New Roman"/>
          <w:sz w:val="24"/>
          <w:szCs w:val="24"/>
          <w:shd w:val="clear" w:color="auto" w:fill="FFFFFF"/>
        </w:rPr>
        <w:t>’s</w:t>
      </w:r>
      <w:r w:rsidR="00AD3E5B" w:rsidRPr="00F613CD">
        <w:rPr>
          <w:rFonts w:ascii="Times New Roman" w:eastAsia="Times New Roman" w:hAnsi="Times New Roman" w:cs="Times New Roman"/>
          <w:sz w:val="24"/>
          <w:szCs w:val="24"/>
          <w:shd w:val="clear" w:color="auto" w:fill="FFFFFF"/>
        </w:rPr>
        <w:t xml:space="preserve"> Board of Commissioners. </w:t>
      </w:r>
      <w:r w:rsidR="0068088D" w:rsidRPr="00F613CD">
        <w:rPr>
          <w:rFonts w:ascii="Times New Roman" w:eastAsia="Times New Roman" w:hAnsi="Times New Roman" w:cs="Times New Roman"/>
          <w:sz w:val="24"/>
          <w:szCs w:val="24"/>
          <w:shd w:val="clear" w:color="auto" w:fill="FFFFFF"/>
        </w:rPr>
        <w:t>The</w:t>
      </w:r>
      <w:r w:rsidR="00EA6BD1" w:rsidRPr="00F613CD">
        <w:rPr>
          <w:rFonts w:ascii="Times New Roman" w:eastAsia="Times New Roman" w:hAnsi="Times New Roman" w:cs="Times New Roman"/>
          <w:sz w:val="24"/>
          <w:szCs w:val="24"/>
          <w:shd w:val="clear" w:color="auto" w:fill="FFFFFF"/>
        </w:rPr>
        <w:t xml:space="preserve"> </w:t>
      </w:r>
      <w:r w:rsidR="007F04D8" w:rsidRPr="00F613CD">
        <w:rPr>
          <w:rFonts w:ascii="Times New Roman" w:eastAsia="Times New Roman" w:hAnsi="Times New Roman" w:cs="Times New Roman"/>
          <w:sz w:val="24"/>
          <w:szCs w:val="24"/>
        </w:rPr>
        <w:t>Housing Authority</w:t>
      </w:r>
      <w:r w:rsidR="0068088D" w:rsidRPr="00F613CD">
        <w:rPr>
          <w:rFonts w:ascii="Times New Roman" w:eastAsia="Times New Roman" w:hAnsi="Times New Roman" w:cs="Times New Roman"/>
          <w:sz w:val="24"/>
          <w:szCs w:val="24"/>
          <w:shd w:val="clear" w:color="auto" w:fill="FFFFFF"/>
        </w:rPr>
        <w:t xml:space="preserve"> will notif</w:t>
      </w:r>
      <w:r w:rsidR="002E45C8" w:rsidRPr="00F613CD">
        <w:rPr>
          <w:rFonts w:ascii="Times New Roman" w:eastAsia="Times New Roman" w:hAnsi="Times New Roman" w:cs="Times New Roman"/>
          <w:sz w:val="24"/>
          <w:szCs w:val="24"/>
          <w:shd w:val="clear" w:color="auto" w:fill="FFFFFF"/>
        </w:rPr>
        <w:t xml:space="preserve">y </w:t>
      </w:r>
      <w:r w:rsidR="006B1DFA" w:rsidRPr="00F613CD">
        <w:rPr>
          <w:rFonts w:ascii="Times New Roman" w:eastAsia="Times New Roman" w:hAnsi="Times New Roman" w:cs="Times New Roman"/>
          <w:sz w:val="24"/>
          <w:szCs w:val="24"/>
          <w:shd w:val="clear" w:color="auto" w:fill="FFFFFF"/>
        </w:rPr>
        <w:t>resident</w:t>
      </w:r>
      <w:r w:rsidR="0068088D" w:rsidRPr="00F613CD">
        <w:rPr>
          <w:rFonts w:ascii="Times New Roman" w:eastAsia="Times New Roman" w:hAnsi="Times New Roman" w:cs="Times New Roman"/>
          <w:sz w:val="24"/>
          <w:szCs w:val="24"/>
          <w:shd w:val="clear" w:color="auto" w:fill="FFFFFF"/>
        </w:rPr>
        <w:t xml:space="preserve">s of </w:t>
      </w:r>
      <w:r w:rsidR="004513A7" w:rsidRPr="00F613CD">
        <w:rPr>
          <w:rFonts w:ascii="Times New Roman" w:eastAsia="Times New Roman" w:hAnsi="Times New Roman" w:cs="Times New Roman"/>
          <w:sz w:val="24"/>
          <w:szCs w:val="24"/>
          <w:shd w:val="clear" w:color="auto" w:fill="FFFFFF"/>
        </w:rPr>
        <w:t xml:space="preserve">all proposed </w:t>
      </w:r>
      <w:r w:rsidR="0068088D" w:rsidRPr="00F613CD">
        <w:rPr>
          <w:rFonts w:ascii="Times New Roman" w:eastAsia="Times New Roman" w:hAnsi="Times New Roman" w:cs="Times New Roman"/>
          <w:sz w:val="24"/>
          <w:szCs w:val="24"/>
          <w:shd w:val="clear" w:color="auto" w:fill="FFFFFF"/>
        </w:rPr>
        <w:t xml:space="preserve">amendments and/or revisions </w:t>
      </w:r>
      <w:r w:rsidR="002E45C8" w:rsidRPr="00F613CD">
        <w:rPr>
          <w:rFonts w:ascii="Times New Roman" w:eastAsia="Times New Roman" w:hAnsi="Times New Roman" w:cs="Times New Roman"/>
          <w:sz w:val="24"/>
          <w:szCs w:val="24"/>
          <w:shd w:val="clear" w:color="auto" w:fill="FFFFFF"/>
        </w:rPr>
        <w:t xml:space="preserve">to the </w:t>
      </w:r>
      <w:r w:rsidR="00215BD5">
        <w:rPr>
          <w:rFonts w:ascii="Times New Roman" w:eastAsia="Times New Roman" w:hAnsi="Times New Roman" w:cs="Times New Roman"/>
          <w:sz w:val="24"/>
          <w:szCs w:val="24"/>
          <w:shd w:val="clear" w:color="auto" w:fill="FFFFFF"/>
        </w:rPr>
        <w:t>Grievance Procedure</w:t>
      </w:r>
      <w:r w:rsidR="003F432B">
        <w:rPr>
          <w:rFonts w:ascii="Times New Roman" w:eastAsia="Times New Roman" w:hAnsi="Times New Roman" w:cs="Times New Roman"/>
          <w:sz w:val="24"/>
          <w:szCs w:val="24"/>
          <w:shd w:val="clear" w:color="auto" w:fill="FFFFFF"/>
        </w:rPr>
        <w:t xml:space="preserve"> in accordance with 24 </w:t>
      </w:r>
      <w:r w:rsidR="003F432B">
        <w:rPr>
          <w:rFonts w:ascii="Times New Roman" w:eastAsia="Times New Roman" w:hAnsi="Times New Roman" w:cs="Times New Roman"/>
          <w:sz w:val="24"/>
          <w:szCs w:val="24"/>
          <w:u w:val="single"/>
          <w:shd w:val="clear" w:color="auto" w:fill="FFFFFF"/>
        </w:rPr>
        <w:t>C.F.R.</w:t>
      </w:r>
      <w:r w:rsidR="003F432B">
        <w:rPr>
          <w:rFonts w:ascii="Times New Roman" w:eastAsia="Times New Roman" w:hAnsi="Times New Roman" w:cs="Times New Roman"/>
          <w:sz w:val="24"/>
          <w:szCs w:val="24"/>
          <w:shd w:val="clear" w:color="auto" w:fill="FFFFFF"/>
        </w:rPr>
        <w:t xml:space="preserve"> 966.52(c)</w:t>
      </w:r>
      <w:r w:rsidR="00215BD5">
        <w:rPr>
          <w:rFonts w:ascii="Times New Roman" w:eastAsia="Times New Roman" w:hAnsi="Times New Roman" w:cs="Times New Roman"/>
          <w:sz w:val="24"/>
          <w:szCs w:val="24"/>
          <w:shd w:val="clear" w:color="auto" w:fill="FFFFFF"/>
        </w:rPr>
        <w:t>.</w:t>
      </w:r>
    </w:p>
    <w:sectPr w:rsidR="003F432B" w:rsidRPr="00F613CD" w:rsidSect="000A019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1D462" w14:textId="77777777" w:rsidR="00F8454C" w:rsidRDefault="00F8454C" w:rsidP="0041491C">
      <w:pPr>
        <w:spacing w:after="0" w:line="240" w:lineRule="auto"/>
      </w:pPr>
      <w:r>
        <w:separator/>
      </w:r>
    </w:p>
  </w:endnote>
  <w:endnote w:type="continuationSeparator" w:id="0">
    <w:p w14:paraId="09ADDEE7" w14:textId="77777777" w:rsidR="00F8454C" w:rsidRDefault="00F8454C" w:rsidP="0041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031451479"/>
      <w:docPartObj>
        <w:docPartGallery w:val="Page Numbers (Bottom of Page)"/>
        <w:docPartUnique/>
      </w:docPartObj>
    </w:sdtPr>
    <w:sdtEndPr>
      <w:rPr>
        <w:noProof/>
      </w:rPr>
    </w:sdtEndPr>
    <w:sdtContent>
      <w:p w14:paraId="64A5E247" w14:textId="74F259AC" w:rsidR="005C7189" w:rsidRPr="00C9391E" w:rsidRDefault="005C7189" w:rsidP="00C9391E">
        <w:pPr>
          <w:pStyle w:val="Footer"/>
          <w:jc w:val="center"/>
          <w:rPr>
            <w:rFonts w:ascii="Times New Roman" w:hAnsi="Times New Roman" w:cs="Times New Roman"/>
            <w:sz w:val="24"/>
            <w:szCs w:val="24"/>
          </w:rPr>
        </w:pPr>
        <w:r w:rsidRPr="00C9391E">
          <w:rPr>
            <w:rFonts w:ascii="Times New Roman" w:hAnsi="Times New Roman" w:cs="Times New Roman"/>
            <w:sz w:val="24"/>
            <w:szCs w:val="24"/>
          </w:rPr>
          <w:fldChar w:fldCharType="begin"/>
        </w:r>
        <w:r w:rsidRPr="00C9391E">
          <w:rPr>
            <w:rFonts w:ascii="Times New Roman" w:hAnsi="Times New Roman" w:cs="Times New Roman"/>
            <w:sz w:val="24"/>
            <w:szCs w:val="24"/>
          </w:rPr>
          <w:instrText xml:space="preserve"> PAGE   \* MERGEFORMAT </w:instrText>
        </w:r>
        <w:r w:rsidRPr="00C9391E">
          <w:rPr>
            <w:rFonts w:ascii="Times New Roman" w:hAnsi="Times New Roman" w:cs="Times New Roman"/>
            <w:sz w:val="24"/>
            <w:szCs w:val="24"/>
          </w:rPr>
          <w:fldChar w:fldCharType="separate"/>
        </w:r>
        <w:r w:rsidR="000773AC">
          <w:rPr>
            <w:rFonts w:ascii="Times New Roman" w:hAnsi="Times New Roman" w:cs="Times New Roman"/>
            <w:noProof/>
            <w:sz w:val="24"/>
            <w:szCs w:val="24"/>
          </w:rPr>
          <w:t>i</w:t>
        </w:r>
        <w:r w:rsidRPr="00C9391E">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F6FBA" w14:textId="62E558E8" w:rsidR="005C7189" w:rsidRPr="005C7189" w:rsidRDefault="005C7189" w:rsidP="005C7189">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133328573"/>
      <w:docPartObj>
        <w:docPartGallery w:val="Page Numbers (Bottom of Page)"/>
        <w:docPartUnique/>
      </w:docPartObj>
    </w:sdtPr>
    <w:sdtEndPr>
      <w:rPr>
        <w:noProof/>
      </w:rPr>
    </w:sdtEndPr>
    <w:sdtContent>
      <w:p w14:paraId="221CFDD0" w14:textId="37ECBECC" w:rsidR="000A019C" w:rsidRPr="000A019C" w:rsidRDefault="000A019C" w:rsidP="000A019C">
        <w:pPr>
          <w:pStyle w:val="Footer"/>
          <w:jc w:val="center"/>
          <w:rPr>
            <w:rFonts w:ascii="Times New Roman" w:hAnsi="Times New Roman" w:cs="Times New Roman"/>
            <w:sz w:val="24"/>
            <w:szCs w:val="24"/>
          </w:rPr>
        </w:pPr>
        <w:r w:rsidRPr="000A019C">
          <w:rPr>
            <w:rFonts w:ascii="Times New Roman" w:hAnsi="Times New Roman" w:cs="Times New Roman"/>
            <w:sz w:val="24"/>
            <w:szCs w:val="24"/>
          </w:rPr>
          <w:fldChar w:fldCharType="begin"/>
        </w:r>
        <w:r w:rsidRPr="000A019C">
          <w:rPr>
            <w:rFonts w:ascii="Times New Roman" w:hAnsi="Times New Roman" w:cs="Times New Roman"/>
            <w:sz w:val="24"/>
            <w:szCs w:val="24"/>
          </w:rPr>
          <w:instrText xml:space="preserve"> PAGE   \* MERGEFORMAT </w:instrText>
        </w:r>
        <w:r w:rsidRPr="000A019C">
          <w:rPr>
            <w:rFonts w:ascii="Times New Roman" w:hAnsi="Times New Roman" w:cs="Times New Roman"/>
            <w:sz w:val="24"/>
            <w:szCs w:val="24"/>
          </w:rPr>
          <w:fldChar w:fldCharType="separate"/>
        </w:r>
        <w:r w:rsidRPr="000A019C">
          <w:rPr>
            <w:rFonts w:ascii="Times New Roman" w:hAnsi="Times New Roman" w:cs="Times New Roman"/>
            <w:noProof/>
            <w:sz w:val="24"/>
            <w:szCs w:val="24"/>
          </w:rPr>
          <w:t>2</w:t>
        </w:r>
        <w:r w:rsidRPr="000A019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70151" w14:textId="77777777" w:rsidR="00F8454C" w:rsidRDefault="00F8454C" w:rsidP="0041491C">
      <w:pPr>
        <w:spacing w:after="0" w:line="240" w:lineRule="auto"/>
      </w:pPr>
      <w:r>
        <w:separator/>
      </w:r>
    </w:p>
  </w:footnote>
  <w:footnote w:type="continuationSeparator" w:id="0">
    <w:p w14:paraId="16A03B1A" w14:textId="77777777" w:rsidR="00F8454C" w:rsidRDefault="00F8454C" w:rsidP="0041491C">
      <w:pPr>
        <w:spacing w:after="0" w:line="240" w:lineRule="auto"/>
      </w:pPr>
      <w:r>
        <w:continuationSeparator/>
      </w:r>
    </w:p>
  </w:footnote>
  <w:footnote w:id="1">
    <w:p w14:paraId="47EB907A" w14:textId="5CFC1E37" w:rsidR="00215BD5" w:rsidRPr="00145FFB" w:rsidRDefault="00215BD5"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966.50. </w:t>
      </w:r>
    </w:p>
  </w:footnote>
  <w:footnote w:id="2">
    <w:p w14:paraId="410DD818" w14:textId="76C3C22C" w:rsidR="00215BD5" w:rsidRPr="00145FFB" w:rsidRDefault="00215BD5"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966.53(a)</w:t>
      </w:r>
    </w:p>
  </w:footnote>
  <w:footnote w:id="3">
    <w:p w14:paraId="556EAD47" w14:textId="081330BC" w:rsidR="008563B1" w:rsidRPr="00145FFB" w:rsidRDefault="008563B1"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966.51(a)(2)(i). </w:t>
      </w:r>
    </w:p>
  </w:footnote>
  <w:footnote w:id="4">
    <w:p w14:paraId="016CB848" w14:textId="30F34639" w:rsidR="008563B1" w:rsidRPr="00145FFB" w:rsidRDefault="008563B1"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966.51(a)(2)(iv).</w:t>
      </w:r>
    </w:p>
  </w:footnote>
  <w:footnote w:id="5">
    <w:p w14:paraId="56BAEC80" w14:textId="40FFFD84" w:rsidR="008563B1" w:rsidRPr="00145FFB" w:rsidRDefault="008563B1"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966.51(b).</w:t>
      </w:r>
    </w:p>
  </w:footnote>
  <w:footnote w:id="6">
    <w:p w14:paraId="6243D14F" w14:textId="492A2EE0" w:rsidR="008563B1" w:rsidRPr="00145FFB" w:rsidRDefault="008563B1"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966.51(b).</w:t>
      </w:r>
    </w:p>
  </w:footnote>
  <w:footnote w:id="7">
    <w:p w14:paraId="55284C4F" w14:textId="525E9E1C" w:rsidR="003F432B" w:rsidRPr="00145FFB" w:rsidRDefault="003F432B"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966.54.</w:t>
      </w:r>
    </w:p>
  </w:footnote>
  <w:footnote w:id="8">
    <w:p w14:paraId="0D706197" w14:textId="4B3D83F8" w:rsidR="00B55C05" w:rsidRPr="00145FFB" w:rsidRDefault="00B55C05"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w:t>
      </w:r>
      <w:r w:rsidRPr="00145FFB">
        <w:rPr>
          <w:rFonts w:ascii="Times New Roman" w:hAnsi="Times New Roman" w:cs="Times New Roman"/>
          <w:u w:val="single"/>
        </w:rPr>
        <w:t>See</w:t>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966.54.</w:t>
      </w:r>
    </w:p>
  </w:footnote>
  <w:footnote w:id="9">
    <w:p w14:paraId="3928F695" w14:textId="4114A19E" w:rsidR="00B55C05" w:rsidRPr="00145FFB" w:rsidRDefault="00B55C05"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966.54.</w:t>
      </w:r>
    </w:p>
  </w:footnote>
  <w:footnote w:id="10">
    <w:p w14:paraId="4756ADA8" w14:textId="03B7286D" w:rsidR="003F432B" w:rsidRPr="00145FFB" w:rsidRDefault="003F432B"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966.54.</w:t>
      </w:r>
    </w:p>
  </w:footnote>
  <w:footnote w:id="11">
    <w:p w14:paraId="6D092A79" w14:textId="24968B15" w:rsidR="003F432B" w:rsidRPr="00145FFB" w:rsidRDefault="003F432B"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966.54.</w:t>
      </w:r>
    </w:p>
  </w:footnote>
  <w:footnote w:id="12">
    <w:p w14:paraId="3C713E80" w14:textId="77777777" w:rsidR="00E55359" w:rsidRPr="00145FFB" w:rsidRDefault="00E55359"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966.54.</w:t>
      </w:r>
    </w:p>
  </w:footnote>
  <w:footnote w:id="13">
    <w:p w14:paraId="7BEBFA0D" w14:textId="4FC3941A" w:rsidR="00C45C13" w:rsidRPr="00145FFB" w:rsidRDefault="00C45C13"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966.56(a).</w:t>
      </w:r>
    </w:p>
  </w:footnote>
  <w:footnote w:id="14">
    <w:p w14:paraId="6F69E035" w14:textId="63BFD2F1" w:rsidR="00C45C13" w:rsidRPr="00145FFB" w:rsidRDefault="00C45C13"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966.56(a).</w:t>
      </w:r>
    </w:p>
  </w:footnote>
  <w:footnote w:id="15">
    <w:p w14:paraId="6CDE37F1" w14:textId="5370C20A" w:rsidR="003F432B" w:rsidRPr="00145FFB" w:rsidRDefault="003F432B"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966.53(e).</w:t>
      </w:r>
    </w:p>
  </w:footnote>
  <w:footnote w:id="16">
    <w:p w14:paraId="2DE033C2" w14:textId="1FD0830E" w:rsidR="00ED6FE5" w:rsidRPr="00145FFB" w:rsidRDefault="00ED6FE5"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966.56(c).</w:t>
      </w:r>
    </w:p>
  </w:footnote>
  <w:footnote w:id="17">
    <w:p w14:paraId="29BA24BB" w14:textId="5EC8EA39" w:rsidR="00ED6FE5" w:rsidRPr="00145FFB" w:rsidRDefault="00ED6FE5"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966.56(c).</w:t>
      </w:r>
    </w:p>
  </w:footnote>
  <w:footnote w:id="18">
    <w:p w14:paraId="6327FC63" w14:textId="221D72C6" w:rsidR="00ED6FE5" w:rsidRPr="00145FFB" w:rsidRDefault="00ED6FE5"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966.56(c).</w:t>
      </w:r>
    </w:p>
  </w:footnote>
  <w:footnote w:id="19">
    <w:p w14:paraId="1324BF1D" w14:textId="2817E475" w:rsidR="00C45C13" w:rsidRPr="00145FFB" w:rsidRDefault="00C45C13"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966.56(b)</w:t>
      </w:r>
      <w:r w:rsidR="003952A3" w:rsidRPr="00145FFB">
        <w:rPr>
          <w:rFonts w:ascii="Times New Roman" w:hAnsi="Times New Roman" w:cs="Times New Roman"/>
        </w:rPr>
        <w:t>(1)</w:t>
      </w:r>
      <w:r w:rsidRPr="00145FFB">
        <w:rPr>
          <w:rFonts w:ascii="Times New Roman" w:hAnsi="Times New Roman" w:cs="Times New Roman"/>
        </w:rPr>
        <w:t>.</w:t>
      </w:r>
    </w:p>
  </w:footnote>
  <w:footnote w:id="20">
    <w:p w14:paraId="247BABB9" w14:textId="73EFB6F6" w:rsidR="00C45C13" w:rsidRPr="00145FFB" w:rsidRDefault="00C45C13"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w:t>
      </w:r>
      <w:r w:rsidR="003952A3" w:rsidRPr="00145FFB">
        <w:rPr>
          <w:rFonts w:ascii="Times New Roman" w:hAnsi="Times New Roman" w:cs="Times New Roman"/>
        </w:rPr>
        <w:t xml:space="preserve">24 </w:t>
      </w:r>
      <w:r w:rsidR="003952A3" w:rsidRPr="00145FFB">
        <w:rPr>
          <w:rFonts w:ascii="Times New Roman" w:hAnsi="Times New Roman" w:cs="Times New Roman"/>
          <w:u w:val="single"/>
        </w:rPr>
        <w:t>C.F.R.</w:t>
      </w:r>
      <w:r w:rsidR="003952A3" w:rsidRPr="00145FFB">
        <w:rPr>
          <w:rFonts w:ascii="Times New Roman" w:hAnsi="Times New Roman" w:cs="Times New Roman"/>
        </w:rPr>
        <w:t xml:space="preserve"> 966.56(b)(1).</w:t>
      </w:r>
    </w:p>
  </w:footnote>
  <w:footnote w:id="21">
    <w:p w14:paraId="41839F75" w14:textId="4E4AFE57" w:rsidR="00C45C13" w:rsidRPr="00145FFB" w:rsidRDefault="00C45C13"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w:t>
      </w:r>
      <w:r w:rsidR="003952A3" w:rsidRPr="00145FFB">
        <w:rPr>
          <w:rFonts w:ascii="Times New Roman" w:hAnsi="Times New Roman" w:cs="Times New Roman"/>
        </w:rPr>
        <w:t xml:space="preserve">24 </w:t>
      </w:r>
      <w:r w:rsidR="003952A3" w:rsidRPr="00145FFB">
        <w:rPr>
          <w:rFonts w:ascii="Times New Roman" w:hAnsi="Times New Roman" w:cs="Times New Roman"/>
          <w:u w:val="single"/>
        </w:rPr>
        <w:t>C.F.R.</w:t>
      </w:r>
      <w:r w:rsidR="003952A3" w:rsidRPr="00145FFB">
        <w:rPr>
          <w:rFonts w:ascii="Times New Roman" w:hAnsi="Times New Roman" w:cs="Times New Roman"/>
        </w:rPr>
        <w:t xml:space="preserve"> 966.56(b)(1).</w:t>
      </w:r>
    </w:p>
  </w:footnote>
  <w:footnote w:id="22">
    <w:p w14:paraId="055EF7C6" w14:textId="38A98CBA" w:rsidR="003952A3" w:rsidRPr="00145FFB" w:rsidRDefault="003952A3"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966.56(b)(2).</w:t>
      </w:r>
    </w:p>
  </w:footnote>
  <w:footnote w:id="23">
    <w:p w14:paraId="1518552D" w14:textId="77777777" w:rsidR="00ED6FE5" w:rsidRPr="00145FFB" w:rsidRDefault="00ED6FE5"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966.56(f).</w:t>
      </w:r>
    </w:p>
  </w:footnote>
  <w:footnote w:id="24">
    <w:p w14:paraId="28433D60" w14:textId="77777777" w:rsidR="00ED6FE5" w:rsidRPr="00145FFB" w:rsidRDefault="00ED6FE5"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966.56(g).</w:t>
      </w:r>
    </w:p>
  </w:footnote>
  <w:footnote w:id="25">
    <w:p w14:paraId="0D557004" w14:textId="69181A54" w:rsidR="003952A3" w:rsidRPr="00145FFB" w:rsidRDefault="003952A3"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966.56(b)(3).</w:t>
      </w:r>
    </w:p>
  </w:footnote>
  <w:footnote w:id="26">
    <w:p w14:paraId="0492302C" w14:textId="6B8962DB" w:rsidR="003952A3" w:rsidRPr="00145FFB" w:rsidRDefault="003952A3"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966.56(b)(4).</w:t>
      </w:r>
    </w:p>
  </w:footnote>
  <w:footnote w:id="27">
    <w:p w14:paraId="3B865DF8" w14:textId="34DBD32A" w:rsidR="00ED6FE5" w:rsidRPr="00145FFB" w:rsidRDefault="00ED6FE5"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966.56(d).</w:t>
      </w:r>
    </w:p>
  </w:footnote>
  <w:footnote w:id="28">
    <w:p w14:paraId="5F641334" w14:textId="61BA6616" w:rsidR="003952A3" w:rsidRPr="00145FFB" w:rsidRDefault="003952A3"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966.56(b)(5).</w:t>
      </w:r>
    </w:p>
  </w:footnote>
  <w:footnote w:id="29">
    <w:p w14:paraId="399D67C8" w14:textId="30937F31" w:rsidR="00ED6FE5" w:rsidRPr="00145FFB" w:rsidRDefault="00ED6FE5"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966.56(e). </w:t>
      </w:r>
    </w:p>
  </w:footnote>
  <w:footnote w:id="30">
    <w:p w14:paraId="38C3280F" w14:textId="67BD215E" w:rsidR="00463349" w:rsidRPr="00145FFB" w:rsidRDefault="00463349"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966.57(a).</w:t>
      </w:r>
    </w:p>
  </w:footnote>
  <w:footnote w:id="31">
    <w:p w14:paraId="55C841A3" w14:textId="28656B2B" w:rsidR="00463349" w:rsidRPr="00145FFB" w:rsidRDefault="00463349"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966.57(a).</w:t>
      </w:r>
    </w:p>
  </w:footnote>
  <w:footnote w:id="32">
    <w:p w14:paraId="2C06840E" w14:textId="55CD1E05" w:rsidR="00463349" w:rsidRPr="00145FFB" w:rsidRDefault="00463349"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966.57(a).</w:t>
      </w:r>
    </w:p>
  </w:footnote>
  <w:footnote w:id="33">
    <w:p w14:paraId="2A23A88E" w14:textId="39059802" w:rsidR="00463349" w:rsidRPr="00145FFB" w:rsidRDefault="00463349"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966.57(a).</w:t>
      </w:r>
    </w:p>
  </w:footnote>
  <w:footnote w:id="34">
    <w:p w14:paraId="1E3799E7" w14:textId="40AF0632" w:rsidR="00463349" w:rsidRPr="00145FFB" w:rsidRDefault="00463349"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966.57(b).</w:t>
      </w:r>
    </w:p>
  </w:footnote>
  <w:footnote w:id="35">
    <w:p w14:paraId="4EB0D793" w14:textId="20011DBE" w:rsidR="00463349" w:rsidRPr="00145FFB" w:rsidRDefault="00463349"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966.57(c).</w:t>
      </w:r>
    </w:p>
  </w:footnote>
  <w:footnote w:id="36">
    <w:p w14:paraId="6E770C00" w14:textId="7EA414E5" w:rsidR="003F432B" w:rsidRPr="00145FFB" w:rsidRDefault="003F432B"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966.52(b).</w:t>
      </w:r>
    </w:p>
  </w:footnote>
  <w:footnote w:id="37">
    <w:p w14:paraId="06B4B799" w14:textId="6BBFD461" w:rsidR="003F432B" w:rsidRPr="00145FFB" w:rsidRDefault="003F432B" w:rsidP="00145FFB">
      <w:pPr>
        <w:pStyle w:val="FootnoteText"/>
        <w:spacing w:after="120"/>
        <w:jc w:val="both"/>
        <w:rPr>
          <w:rFonts w:ascii="Times New Roman" w:hAnsi="Times New Roman" w:cs="Times New Roman"/>
        </w:rPr>
      </w:pPr>
      <w:r w:rsidRPr="00145FFB">
        <w:rPr>
          <w:rStyle w:val="FootnoteReference"/>
          <w:rFonts w:ascii="Times New Roman" w:hAnsi="Times New Roman" w:cs="Times New Roman"/>
        </w:rPr>
        <w:footnoteRef/>
      </w:r>
      <w:r w:rsidRPr="00145FFB">
        <w:rPr>
          <w:rFonts w:ascii="Times New Roman" w:hAnsi="Times New Roman" w:cs="Times New Roman"/>
        </w:rPr>
        <w:t xml:space="preserve"> 24 </w:t>
      </w:r>
      <w:r w:rsidRPr="00145FFB">
        <w:rPr>
          <w:rFonts w:ascii="Times New Roman" w:hAnsi="Times New Roman" w:cs="Times New Roman"/>
          <w:u w:val="single"/>
        </w:rPr>
        <w:t>C.F.R.</w:t>
      </w:r>
      <w:r w:rsidRPr="00145FFB">
        <w:rPr>
          <w:rFonts w:ascii="Times New Roman" w:hAnsi="Times New Roman" w:cs="Times New Roman"/>
        </w:rPr>
        <w:t xml:space="preserve"> 966.52(d).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DBDC2" w14:textId="63BEBD5F" w:rsidR="000A019C" w:rsidRDefault="000A019C" w:rsidP="000A019C">
    <w:pPr>
      <w:pStyle w:val="Footer"/>
      <w:rPr>
        <w:rFonts w:ascii="Times New Roman" w:hAnsi="Times New Roman" w:cs="Times New Roman"/>
        <w:sz w:val="20"/>
        <w:szCs w:val="24"/>
      </w:rPr>
    </w:pPr>
    <w:r>
      <w:rPr>
        <w:rFonts w:ascii="Times New Roman" w:hAnsi="Times New Roman" w:cs="Times New Roman"/>
        <w:sz w:val="20"/>
        <w:szCs w:val="24"/>
      </w:rPr>
      <w:t xml:space="preserve">Housing Authority of the </w:t>
    </w:r>
    <w:r w:rsidR="00D035AA">
      <w:rPr>
        <w:rFonts w:ascii="Times New Roman" w:hAnsi="Times New Roman" w:cs="Times New Roman"/>
        <w:sz w:val="20"/>
        <w:szCs w:val="24"/>
      </w:rPr>
      <w:t>Town of Harrison</w:t>
    </w:r>
    <w:r>
      <w:rPr>
        <w:rFonts w:ascii="Times New Roman" w:hAnsi="Times New Roman" w:cs="Times New Roman"/>
        <w:sz w:val="20"/>
        <w:szCs w:val="24"/>
      </w:rPr>
      <w:tab/>
    </w:r>
    <w:r>
      <w:rPr>
        <w:rFonts w:ascii="Times New Roman" w:hAnsi="Times New Roman" w:cs="Times New Roman"/>
        <w:sz w:val="20"/>
        <w:szCs w:val="24"/>
      </w:rPr>
      <w:tab/>
      <w:t>Adopted __________</w:t>
    </w:r>
  </w:p>
  <w:p w14:paraId="42658A4D" w14:textId="77777777" w:rsidR="000A019C" w:rsidRPr="00C9391E" w:rsidRDefault="000A019C" w:rsidP="000A019C">
    <w:pPr>
      <w:pStyle w:val="Footer"/>
      <w:rPr>
        <w:rFonts w:ascii="Times New Roman" w:hAnsi="Times New Roman" w:cs="Times New Roman"/>
        <w:sz w:val="20"/>
        <w:szCs w:val="24"/>
      </w:rPr>
    </w:pPr>
    <w:r>
      <w:rPr>
        <w:rFonts w:ascii="Times New Roman" w:hAnsi="Times New Roman" w:cs="Times New Roman"/>
        <w:sz w:val="20"/>
        <w:szCs w:val="24"/>
      </w:rPr>
      <w:t>House Rules</w:t>
    </w:r>
    <w:r>
      <w:rPr>
        <w:rFonts w:ascii="Times New Roman" w:hAnsi="Times New Roman" w:cs="Times New Roman"/>
        <w:sz w:val="20"/>
        <w:szCs w:val="24"/>
      </w:rPr>
      <w:tab/>
    </w:r>
    <w:r>
      <w:rPr>
        <w:rFonts w:ascii="Times New Roman" w:hAnsi="Times New Roman" w:cs="Times New Roman"/>
        <w:sz w:val="20"/>
        <w:szCs w:val="24"/>
      </w:rPr>
      <w:tab/>
      <w:t>Resolution No. __________</w:t>
    </w:r>
  </w:p>
  <w:p w14:paraId="679D3B6D" w14:textId="77777777" w:rsidR="000A019C" w:rsidRDefault="000A01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58557" w14:textId="23409AAA" w:rsidR="000A019C" w:rsidRDefault="000A019C" w:rsidP="000A019C">
    <w:pPr>
      <w:pStyle w:val="Footer"/>
      <w:rPr>
        <w:rFonts w:ascii="Times New Roman" w:hAnsi="Times New Roman" w:cs="Times New Roman"/>
        <w:sz w:val="20"/>
        <w:szCs w:val="24"/>
      </w:rPr>
    </w:pPr>
    <w:r>
      <w:rPr>
        <w:rFonts w:ascii="Times New Roman" w:hAnsi="Times New Roman" w:cs="Times New Roman"/>
        <w:sz w:val="20"/>
        <w:szCs w:val="24"/>
      </w:rPr>
      <w:t xml:space="preserve">Housing Authority of the </w:t>
    </w:r>
    <w:r w:rsidR="00D035AA">
      <w:rPr>
        <w:rFonts w:ascii="Times New Roman" w:hAnsi="Times New Roman" w:cs="Times New Roman"/>
        <w:sz w:val="20"/>
        <w:szCs w:val="24"/>
      </w:rPr>
      <w:t>Town of Harrison</w:t>
    </w:r>
    <w:r>
      <w:rPr>
        <w:rFonts w:ascii="Times New Roman" w:hAnsi="Times New Roman" w:cs="Times New Roman"/>
        <w:sz w:val="20"/>
        <w:szCs w:val="24"/>
      </w:rPr>
      <w:tab/>
    </w:r>
    <w:r>
      <w:rPr>
        <w:rFonts w:ascii="Times New Roman" w:hAnsi="Times New Roman" w:cs="Times New Roman"/>
        <w:sz w:val="20"/>
        <w:szCs w:val="24"/>
      </w:rPr>
      <w:tab/>
      <w:t>Adopted __________</w:t>
    </w:r>
  </w:p>
  <w:p w14:paraId="082944B5" w14:textId="2CF5BCA9" w:rsidR="000A019C" w:rsidRPr="00C9391E" w:rsidRDefault="00215BD5" w:rsidP="000A019C">
    <w:pPr>
      <w:pStyle w:val="Footer"/>
      <w:rPr>
        <w:rFonts w:ascii="Times New Roman" w:hAnsi="Times New Roman" w:cs="Times New Roman"/>
        <w:sz w:val="20"/>
        <w:szCs w:val="24"/>
      </w:rPr>
    </w:pPr>
    <w:r>
      <w:rPr>
        <w:rFonts w:ascii="Times New Roman" w:hAnsi="Times New Roman" w:cs="Times New Roman"/>
        <w:sz w:val="20"/>
        <w:szCs w:val="24"/>
      </w:rPr>
      <w:t>Grievance Procedure</w:t>
    </w:r>
    <w:r w:rsidR="000A019C">
      <w:rPr>
        <w:rFonts w:ascii="Times New Roman" w:hAnsi="Times New Roman" w:cs="Times New Roman"/>
        <w:sz w:val="20"/>
        <w:szCs w:val="24"/>
      </w:rPr>
      <w:tab/>
    </w:r>
    <w:r w:rsidR="000A019C">
      <w:rPr>
        <w:rFonts w:ascii="Times New Roman" w:hAnsi="Times New Roman" w:cs="Times New Roman"/>
        <w:sz w:val="20"/>
        <w:szCs w:val="24"/>
      </w:rPr>
      <w:tab/>
      <w:t>Resolution No. __________</w:t>
    </w:r>
  </w:p>
  <w:p w14:paraId="323D8F06" w14:textId="77777777" w:rsidR="000A019C" w:rsidRDefault="000A01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4EB57" w14:textId="6B34CE20" w:rsidR="000A019C" w:rsidRDefault="000A019C" w:rsidP="000A019C">
    <w:pPr>
      <w:pStyle w:val="Footer"/>
      <w:rPr>
        <w:rFonts w:ascii="Times New Roman" w:hAnsi="Times New Roman" w:cs="Times New Roman"/>
        <w:sz w:val="20"/>
        <w:szCs w:val="24"/>
      </w:rPr>
    </w:pPr>
    <w:r>
      <w:rPr>
        <w:rFonts w:ascii="Times New Roman" w:hAnsi="Times New Roman" w:cs="Times New Roman"/>
        <w:sz w:val="20"/>
        <w:szCs w:val="24"/>
      </w:rPr>
      <w:t xml:space="preserve">Housing Authority of the </w:t>
    </w:r>
    <w:r w:rsidR="00D035AA">
      <w:rPr>
        <w:rFonts w:ascii="Times New Roman" w:hAnsi="Times New Roman" w:cs="Times New Roman"/>
        <w:sz w:val="20"/>
        <w:szCs w:val="24"/>
      </w:rPr>
      <w:t>Town of Harrison</w:t>
    </w:r>
    <w:r>
      <w:rPr>
        <w:rFonts w:ascii="Times New Roman" w:hAnsi="Times New Roman" w:cs="Times New Roman"/>
        <w:sz w:val="20"/>
        <w:szCs w:val="24"/>
      </w:rPr>
      <w:tab/>
    </w:r>
    <w:r>
      <w:rPr>
        <w:rFonts w:ascii="Times New Roman" w:hAnsi="Times New Roman" w:cs="Times New Roman"/>
        <w:sz w:val="20"/>
        <w:szCs w:val="24"/>
      </w:rPr>
      <w:tab/>
      <w:t>Adopted __________</w:t>
    </w:r>
  </w:p>
  <w:p w14:paraId="11A55029" w14:textId="77777777" w:rsidR="000A019C" w:rsidRPr="00C9391E" w:rsidRDefault="000A019C" w:rsidP="000A019C">
    <w:pPr>
      <w:pStyle w:val="Footer"/>
      <w:rPr>
        <w:rFonts w:ascii="Times New Roman" w:hAnsi="Times New Roman" w:cs="Times New Roman"/>
        <w:sz w:val="20"/>
        <w:szCs w:val="24"/>
      </w:rPr>
    </w:pPr>
    <w:r>
      <w:rPr>
        <w:rFonts w:ascii="Times New Roman" w:hAnsi="Times New Roman" w:cs="Times New Roman"/>
        <w:sz w:val="20"/>
        <w:szCs w:val="24"/>
      </w:rPr>
      <w:t>House Rules</w:t>
    </w:r>
    <w:r>
      <w:rPr>
        <w:rFonts w:ascii="Times New Roman" w:hAnsi="Times New Roman" w:cs="Times New Roman"/>
        <w:sz w:val="20"/>
        <w:szCs w:val="24"/>
      </w:rPr>
      <w:tab/>
    </w:r>
    <w:r>
      <w:rPr>
        <w:rFonts w:ascii="Times New Roman" w:hAnsi="Times New Roman" w:cs="Times New Roman"/>
        <w:sz w:val="20"/>
        <w:szCs w:val="24"/>
      </w:rPr>
      <w:tab/>
      <w:t>Resolution No. __________</w:t>
    </w:r>
  </w:p>
  <w:p w14:paraId="0E00E96C" w14:textId="77777777" w:rsidR="000A019C" w:rsidRDefault="000A01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894"/>
    <w:multiLevelType w:val="hybridMultilevel"/>
    <w:tmpl w:val="9F90CB60"/>
    <w:lvl w:ilvl="0" w:tplc="CDB06A54">
      <w:start w:val="1"/>
      <w:numFmt w:val="upperLetter"/>
      <w:lvlText w:val="%1."/>
      <w:lvlJc w:val="left"/>
      <w:pPr>
        <w:ind w:left="720" w:hanging="360"/>
      </w:pPr>
      <w:rPr>
        <w:rFonts w:eastAsiaTheme="minorHAnsi" w:hint="default"/>
      </w:rPr>
    </w:lvl>
    <w:lvl w:ilvl="1" w:tplc="0FF2F8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111D4"/>
    <w:multiLevelType w:val="hybridMultilevel"/>
    <w:tmpl w:val="2C6461C0"/>
    <w:lvl w:ilvl="0" w:tplc="04090015">
      <w:start w:val="1"/>
      <w:numFmt w:val="upperLetter"/>
      <w:lvlText w:val="%1."/>
      <w:lvlJc w:val="left"/>
      <w:pPr>
        <w:ind w:left="720" w:hanging="360"/>
      </w:pPr>
      <w:rPr>
        <w:rFonts w:hint="default"/>
      </w:rPr>
    </w:lvl>
    <w:lvl w:ilvl="1" w:tplc="21AE66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511E5"/>
    <w:multiLevelType w:val="hybridMultilevel"/>
    <w:tmpl w:val="61F8C79A"/>
    <w:lvl w:ilvl="0" w:tplc="A3F432FC">
      <w:start w:val="6"/>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8FF4381"/>
    <w:multiLevelType w:val="hybridMultilevel"/>
    <w:tmpl w:val="030A0B54"/>
    <w:lvl w:ilvl="0" w:tplc="E7C2B47A">
      <w:start w:val="1"/>
      <w:numFmt w:val="upperRoman"/>
      <w:pStyle w:val="Heading1"/>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D5C6D"/>
    <w:multiLevelType w:val="hybridMultilevel"/>
    <w:tmpl w:val="4C527804"/>
    <w:lvl w:ilvl="0" w:tplc="04090015">
      <w:start w:val="1"/>
      <w:numFmt w:val="upperLetter"/>
      <w:lvlText w:val="%1."/>
      <w:lvlJc w:val="left"/>
      <w:pPr>
        <w:ind w:left="720" w:hanging="360"/>
      </w:pPr>
      <w:rPr>
        <w:rFonts w:hint="default"/>
      </w:rPr>
    </w:lvl>
    <w:lvl w:ilvl="1" w:tplc="FF424920">
      <w:start w:val="1"/>
      <w:numFmt w:val="decimal"/>
      <w:lvlText w:val="%2."/>
      <w:lvlJc w:val="left"/>
      <w:pPr>
        <w:ind w:left="1440" w:hanging="360"/>
      </w:pPr>
      <w:rPr>
        <w:rFonts w:hint="default"/>
      </w:rPr>
    </w:lvl>
    <w:lvl w:ilvl="2" w:tplc="0CC2F42E">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DD0C6D"/>
    <w:multiLevelType w:val="hybridMultilevel"/>
    <w:tmpl w:val="170C6FAE"/>
    <w:lvl w:ilvl="0" w:tplc="638EB624">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5E"/>
    <w:rsid w:val="00001797"/>
    <w:rsid w:val="00001A04"/>
    <w:rsid w:val="00003589"/>
    <w:rsid w:val="00007407"/>
    <w:rsid w:val="0001150C"/>
    <w:rsid w:val="000124E8"/>
    <w:rsid w:val="000143BF"/>
    <w:rsid w:val="00014A2E"/>
    <w:rsid w:val="00020E0E"/>
    <w:rsid w:val="000236E7"/>
    <w:rsid w:val="00023CE1"/>
    <w:rsid w:val="00025B71"/>
    <w:rsid w:val="000310A0"/>
    <w:rsid w:val="00037DBD"/>
    <w:rsid w:val="00040E95"/>
    <w:rsid w:val="00045495"/>
    <w:rsid w:val="00047B39"/>
    <w:rsid w:val="0005071A"/>
    <w:rsid w:val="00055676"/>
    <w:rsid w:val="00056830"/>
    <w:rsid w:val="00061625"/>
    <w:rsid w:val="000624E9"/>
    <w:rsid w:val="0007345E"/>
    <w:rsid w:val="000773AC"/>
    <w:rsid w:val="000800D0"/>
    <w:rsid w:val="0008095E"/>
    <w:rsid w:val="000951B1"/>
    <w:rsid w:val="000A019C"/>
    <w:rsid w:val="000A229C"/>
    <w:rsid w:val="000A425B"/>
    <w:rsid w:val="000B09E6"/>
    <w:rsid w:val="000B1592"/>
    <w:rsid w:val="000B7525"/>
    <w:rsid w:val="000B7592"/>
    <w:rsid w:val="000C6E4B"/>
    <w:rsid w:val="000D0450"/>
    <w:rsid w:val="000D2A93"/>
    <w:rsid w:val="000D7377"/>
    <w:rsid w:val="000E2467"/>
    <w:rsid w:val="000E44E9"/>
    <w:rsid w:val="000F393F"/>
    <w:rsid w:val="0010018B"/>
    <w:rsid w:val="00100222"/>
    <w:rsid w:val="00101E27"/>
    <w:rsid w:val="00107D40"/>
    <w:rsid w:val="0011083F"/>
    <w:rsid w:val="001112FB"/>
    <w:rsid w:val="001222D2"/>
    <w:rsid w:val="00127587"/>
    <w:rsid w:val="001308C7"/>
    <w:rsid w:val="00131E60"/>
    <w:rsid w:val="00144049"/>
    <w:rsid w:val="00145E72"/>
    <w:rsid w:val="00145FFB"/>
    <w:rsid w:val="0014770B"/>
    <w:rsid w:val="00156A18"/>
    <w:rsid w:val="00162167"/>
    <w:rsid w:val="001643BF"/>
    <w:rsid w:val="00164738"/>
    <w:rsid w:val="00167221"/>
    <w:rsid w:val="00172D00"/>
    <w:rsid w:val="00173196"/>
    <w:rsid w:val="00176D80"/>
    <w:rsid w:val="00180B1B"/>
    <w:rsid w:val="0018162E"/>
    <w:rsid w:val="001817FB"/>
    <w:rsid w:val="0018302D"/>
    <w:rsid w:val="001954B8"/>
    <w:rsid w:val="001958D0"/>
    <w:rsid w:val="001A250E"/>
    <w:rsid w:val="001A6C64"/>
    <w:rsid w:val="001B114F"/>
    <w:rsid w:val="001B64C1"/>
    <w:rsid w:val="001B6D2A"/>
    <w:rsid w:val="001B7F52"/>
    <w:rsid w:val="001C1156"/>
    <w:rsid w:val="001D10C2"/>
    <w:rsid w:val="001D37CD"/>
    <w:rsid w:val="001D4144"/>
    <w:rsid w:val="001D4A4C"/>
    <w:rsid w:val="001D7BF7"/>
    <w:rsid w:val="001E52DA"/>
    <w:rsid w:val="001F108E"/>
    <w:rsid w:val="001F166D"/>
    <w:rsid w:val="001F4009"/>
    <w:rsid w:val="001F4F75"/>
    <w:rsid w:val="002042C8"/>
    <w:rsid w:val="00214E4C"/>
    <w:rsid w:val="00215BD5"/>
    <w:rsid w:val="0022133D"/>
    <w:rsid w:val="00224DF0"/>
    <w:rsid w:val="00226123"/>
    <w:rsid w:val="002340E4"/>
    <w:rsid w:val="002521C6"/>
    <w:rsid w:val="00254ECD"/>
    <w:rsid w:val="00261778"/>
    <w:rsid w:val="00262170"/>
    <w:rsid w:val="00263A35"/>
    <w:rsid w:val="002755F9"/>
    <w:rsid w:val="002776D0"/>
    <w:rsid w:val="0028017A"/>
    <w:rsid w:val="0028370A"/>
    <w:rsid w:val="00283E6D"/>
    <w:rsid w:val="00283ED7"/>
    <w:rsid w:val="00285106"/>
    <w:rsid w:val="00287A23"/>
    <w:rsid w:val="00291915"/>
    <w:rsid w:val="002971FA"/>
    <w:rsid w:val="002A1B9E"/>
    <w:rsid w:val="002A3C01"/>
    <w:rsid w:val="002A46C1"/>
    <w:rsid w:val="002B2AA9"/>
    <w:rsid w:val="002B3CD8"/>
    <w:rsid w:val="002C1182"/>
    <w:rsid w:val="002C4EC0"/>
    <w:rsid w:val="002D2888"/>
    <w:rsid w:val="002D314E"/>
    <w:rsid w:val="002D5EAF"/>
    <w:rsid w:val="002E0D10"/>
    <w:rsid w:val="002E41C9"/>
    <w:rsid w:val="002E45C8"/>
    <w:rsid w:val="002F4985"/>
    <w:rsid w:val="002F6A28"/>
    <w:rsid w:val="00300226"/>
    <w:rsid w:val="0030164B"/>
    <w:rsid w:val="00302EAF"/>
    <w:rsid w:val="003055E6"/>
    <w:rsid w:val="003069DA"/>
    <w:rsid w:val="00307BB4"/>
    <w:rsid w:val="00314A3D"/>
    <w:rsid w:val="00314B66"/>
    <w:rsid w:val="003153F2"/>
    <w:rsid w:val="003249B7"/>
    <w:rsid w:val="0032663D"/>
    <w:rsid w:val="00326A20"/>
    <w:rsid w:val="0033137F"/>
    <w:rsid w:val="003323DA"/>
    <w:rsid w:val="00342AE5"/>
    <w:rsid w:val="0034361F"/>
    <w:rsid w:val="0034399A"/>
    <w:rsid w:val="003441D4"/>
    <w:rsid w:val="00350134"/>
    <w:rsid w:val="00357694"/>
    <w:rsid w:val="00362F2B"/>
    <w:rsid w:val="00363930"/>
    <w:rsid w:val="00370A7E"/>
    <w:rsid w:val="003750E8"/>
    <w:rsid w:val="00380A96"/>
    <w:rsid w:val="00383BB9"/>
    <w:rsid w:val="00384610"/>
    <w:rsid w:val="00385B7B"/>
    <w:rsid w:val="0038615F"/>
    <w:rsid w:val="003952A3"/>
    <w:rsid w:val="00396420"/>
    <w:rsid w:val="003A1B73"/>
    <w:rsid w:val="003B44B9"/>
    <w:rsid w:val="003B5555"/>
    <w:rsid w:val="003B5E9D"/>
    <w:rsid w:val="003C0F1E"/>
    <w:rsid w:val="003E2CB0"/>
    <w:rsid w:val="003E7E50"/>
    <w:rsid w:val="003F1684"/>
    <w:rsid w:val="003F2253"/>
    <w:rsid w:val="003F432B"/>
    <w:rsid w:val="0040261A"/>
    <w:rsid w:val="004114DC"/>
    <w:rsid w:val="0041491C"/>
    <w:rsid w:val="004255B4"/>
    <w:rsid w:val="004366CB"/>
    <w:rsid w:val="00436EA1"/>
    <w:rsid w:val="004404A5"/>
    <w:rsid w:val="00444D8D"/>
    <w:rsid w:val="004513A7"/>
    <w:rsid w:val="004534F3"/>
    <w:rsid w:val="00462688"/>
    <w:rsid w:val="00463349"/>
    <w:rsid w:val="00467889"/>
    <w:rsid w:val="00471544"/>
    <w:rsid w:val="004722A2"/>
    <w:rsid w:val="00474535"/>
    <w:rsid w:val="00476A2D"/>
    <w:rsid w:val="00480B0F"/>
    <w:rsid w:val="00486C9B"/>
    <w:rsid w:val="00487038"/>
    <w:rsid w:val="0049082C"/>
    <w:rsid w:val="0049240B"/>
    <w:rsid w:val="004A4397"/>
    <w:rsid w:val="004A4D51"/>
    <w:rsid w:val="004A557D"/>
    <w:rsid w:val="004A5873"/>
    <w:rsid w:val="004A682D"/>
    <w:rsid w:val="004B23D9"/>
    <w:rsid w:val="004B468F"/>
    <w:rsid w:val="004C1144"/>
    <w:rsid w:val="004C2DCC"/>
    <w:rsid w:val="004C447D"/>
    <w:rsid w:val="004C4CA7"/>
    <w:rsid w:val="004C6336"/>
    <w:rsid w:val="004D09AE"/>
    <w:rsid w:val="004D126E"/>
    <w:rsid w:val="004D3BB9"/>
    <w:rsid w:val="004D4D76"/>
    <w:rsid w:val="004D5FE4"/>
    <w:rsid w:val="004D73C9"/>
    <w:rsid w:val="004E0574"/>
    <w:rsid w:val="004E14B6"/>
    <w:rsid w:val="004E319E"/>
    <w:rsid w:val="004F0954"/>
    <w:rsid w:val="004F2358"/>
    <w:rsid w:val="004F37A3"/>
    <w:rsid w:val="00502F0B"/>
    <w:rsid w:val="00504634"/>
    <w:rsid w:val="00505138"/>
    <w:rsid w:val="00513D79"/>
    <w:rsid w:val="00514395"/>
    <w:rsid w:val="00517861"/>
    <w:rsid w:val="00520198"/>
    <w:rsid w:val="00521EF7"/>
    <w:rsid w:val="005324A4"/>
    <w:rsid w:val="00540375"/>
    <w:rsid w:val="00551D6E"/>
    <w:rsid w:val="005643DE"/>
    <w:rsid w:val="0057205A"/>
    <w:rsid w:val="00574039"/>
    <w:rsid w:val="005779FB"/>
    <w:rsid w:val="00581F49"/>
    <w:rsid w:val="00591D3E"/>
    <w:rsid w:val="00592657"/>
    <w:rsid w:val="00594139"/>
    <w:rsid w:val="005A14C0"/>
    <w:rsid w:val="005A272A"/>
    <w:rsid w:val="005A49C6"/>
    <w:rsid w:val="005A5C98"/>
    <w:rsid w:val="005A63B7"/>
    <w:rsid w:val="005B6EEC"/>
    <w:rsid w:val="005B7916"/>
    <w:rsid w:val="005C1DDD"/>
    <w:rsid w:val="005C7189"/>
    <w:rsid w:val="005E409C"/>
    <w:rsid w:val="005E532A"/>
    <w:rsid w:val="005E5735"/>
    <w:rsid w:val="005F401E"/>
    <w:rsid w:val="005F43BC"/>
    <w:rsid w:val="00605F3A"/>
    <w:rsid w:val="00615910"/>
    <w:rsid w:val="00623391"/>
    <w:rsid w:val="00623FD6"/>
    <w:rsid w:val="00630162"/>
    <w:rsid w:val="006372AB"/>
    <w:rsid w:val="006416A2"/>
    <w:rsid w:val="00644887"/>
    <w:rsid w:val="00644F28"/>
    <w:rsid w:val="006504FC"/>
    <w:rsid w:val="00651A5D"/>
    <w:rsid w:val="00653F5F"/>
    <w:rsid w:val="006562F1"/>
    <w:rsid w:val="00664180"/>
    <w:rsid w:val="00680446"/>
    <w:rsid w:val="0068088D"/>
    <w:rsid w:val="006850EE"/>
    <w:rsid w:val="00692C97"/>
    <w:rsid w:val="006937E3"/>
    <w:rsid w:val="00693E5D"/>
    <w:rsid w:val="006A257A"/>
    <w:rsid w:val="006A3F02"/>
    <w:rsid w:val="006B1DFA"/>
    <w:rsid w:val="006B51E9"/>
    <w:rsid w:val="006C1E22"/>
    <w:rsid w:val="006C6196"/>
    <w:rsid w:val="006E58DF"/>
    <w:rsid w:val="006E623C"/>
    <w:rsid w:val="006E72DE"/>
    <w:rsid w:val="006F164A"/>
    <w:rsid w:val="006F775B"/>
    <w:rsid w:val="007025B0"/>
    <w:rsid w:val="00703777"/>
    <w:rsid w:val="00707472"/>
    <w:rsid w:val="007108CF"/>
    <w:rsid w:val="00710B02"/>
    <w:rsid w:val="007116CE"/>
    <w:rsid w:val="00712E09"/>
    <w:rsid w:val="00716473"/>
    <w:rsid w:val="00720895"/>
    <w:rsid w:val="007210E6"/>
    <w:rsid w:val="00725EAC"/>
    <w:rsid w:val="00730749"/>
    <w:rsid w:val="0074180D"/>
    <w:rsid w:val="00754EFE"/>
    <w:rsid w:val="007636BA"/>
    <w:rsid w:val="00775F1B"/>
    <w:rsid w:val="00781B96"/>
    <w:rsid w:val="007859B2"/>
    <w:rsid w:val="00786CCA"/>
    <w:rsid w:val="00796831"/>
    <w:rsid w:val="007A5C02"/>
    <w:rsid w:val="007A6D4A"/>
    <w:rsid w:val="007B041D"/>
    <w:rsid w:val="007B43BF"/>
    <w:rsid w:val="007B706C"/>
    <w:rsid w:val="007C0402"/>
    <w:rsid w:val="007C1EBE"/>
    <w:rsid w:val="007C2364"/>
    <w:rsid w:val="007C35BE"/>
    <w:rsid w:val="007C748B"/>
    <w:rsid w:val="007E3465"/>
    <w:rsid w:val="007F04D8"/>
    <w:rsid w:val="007F0E89"/>
    <w:rsid w:val="007F48F1"/>
    <w:rsid w:val="008008CE"/>
    <w:rsid w:val="00801D30"/>
    <w:rsid w:val="008052D5"/>
    <w:rsid w:val="00806A92"/>
    <w:rsid w:val="00810471"/>
    <w:rsid w:val="00811842"/>
    <w:rsid w:val="00813584"/>
    <w:rsid w:val="00813835"/>
    <w:rsid w:val="0083310C"/>
    <w:rsid w:val="00834B19"/>
    <w:rsid w:val="00835767"/>
    <w:rsid w:val="00845367"/>
    <w:rsid w:val="0084553F"/>
    <w:rsid w:val="008563B1"/>
    <w:rsid w:val="008670EB"/>
    <w:rsid w:val="00873640"/>
    <w:rsid w:val="00882643"/>
    <w:rsid w:val="00882D74"/>
    <w:rsid w:val="0088307F"/>
    <w:rsid w:val="00886FDF"/>
    <w:rsid w:val="00887368"/>
    <w:rsid w:val="008941A3"/>
    <w:rsid w:val="00894457"/>
    <w:rsid w:val="00895905"/>
    <w:rsid w:val="00895F93"/>
    <w:rsid w:val="008A3C9E"/>
    <w:rsid w:val="008A4578"/>
    <w:rsid w:val="008A7199"/>
    <w:rsid w:val="008B1E9B"/>
    <w:rsid w:val="008B5CF4"/>
    <w:rsid w:val="008C118A"/>
    <w:rsid w:val="008C15A7"/>
    <w:rsid w:val="008C4DDD"/>
    <w:rsid w:val="008D5541"/>
    <w:rsid w:val="008D75EC"/>
    <w:rsid w:val="008D77B0"/>
    <w:rsid w:val="008F6D14"/>
    <w:rsid w:val="00901400"/>
    <w:rsid w:val="00911C14"/>
    <w:rsid w:val="0091374C"/>
    <w:rsid w:val="0091595E"/>
    <w:rsid w:val="0091794A"/>
    <w:rsid w:val="0092115C"/>
    <w:rsid w:val="0092560C"/>
    <w:rsid w:val="00926F13"/>
    <w:rsid w:val="00932D5E"/>
    <w:rsid w:val="0093652D"/>
    <w:rsid w:val="00940AB1"/>
    <w:rsid w:val="00944E6C"/>
    <w:rsid w:val="00946C1C"/>
    <w:rsid w:val="009472FA"/>
    <w:rsid w:val="00947B43"/>
    <w:rsid w:val="00951A8F"/>
    <w:rsid w:val="00953DFB"/>
    <w:rsid w:val="009568C9"/>
    <w:rsid w:val="00961865"/>
    <w:rsid w:val="009638EC"/>
    <w:rsid w:val="009659B3"/>
    <w:rsid w:val="00965E19"/>
    <w:rsid w:val="00971D12"/>
    <w:rsid w:val="009815AB"/>
    <w:rsid w:val="0098467C"/>
    <w:rsid w:val="009905D2"/>
    <w:rsid w:val="00990644"/>
    <w:rsid w:val="00995B3F"/>
    <w:rsid w:val="009A532A"/>
    <w:rsid w:val="009A7C0C"/>
    <w:rsid w:val="009B0315"/>
    <w:rsid w:val="009B7017"/>
    <w:rsid w:val="009C0CE7"/>
    <w:rsid w:val="009C67FE"/>
    <w:rsid w:val="009D0E6A"/>
    <w:rsid w:val="009D1025"/>
    <w:rsid w:val="009D2B28"/>
    <w:rsid w:val="009D5580"/>
    <w:rsid w:val="009E06E2"/>
    <w:rsid w:val="009E1C2E"/>
    <w:rsid w:val="009E2B98"/>
    <w:rsid w:val="009F12F6"/>
    <w:rsid w:val="009F22F3"/>
    <w:rsid w:val="009F2A6B"/>
    <w:rsid w:val="009F3C72"/>
    <w:rsid w:val="009F5215"/>
    <w:rsid w:val="00A00CC7"/>
    <w:rsid w:val="00A1099E"/>
    <w:rsid w:val="00A111E2"/>
    <w:rsid w:val="00A14AF4"/>
    <w:rsid w:val="00A20BA8"/>
    <w:rsid w:val="00A217DA"/>
    <w:rsid w:val="00A237B2"/>
    <w:rsid w:val="00A3073B"/>
    <w:rsid w:val="00A3344F"/>
    <w:rsid w:val="00A35182"/>
    <w:rsid w:val="00A419F1"/>
    <w:rsid w:val="00A41DA4"/>
    <w:rsid w:val="00A441AC"/>
    <w:rsid w:val="00A515F6"/>
    <w:rsid w:val="00A5596C"/>
    <w:rsid w:val="00A62A95"/>
    <w:rsid w:val="00A825C7"/>
    <w:rsid w:val="00A87A94"/>
    <w:rsid w:val="00A90A1A"/>
    <w:rsid w:val="00A910D5"/>
    <w:rsid w:val="00A91E2D"/>
    <w:rsid w:val="00AA0095"/>
    <w:rsid w:val="00AA1B90"/>
    <w:rsid w:val="00AB27E6"/>
    <w:rsid w:val="00AB3D4C"/>
    <w:rsid w:val="00AB6E2E"/>
    <w:rsid w:val="00AC00BD"/>
    <w:rsid w:val="00AC2DE5"/>
    <w:rsid w:val="00AC4CC7"/>
    <w:rsid w:val="00AC4D37"/>
    <w:rsid w:val="00AD3E5B"/>
    <w:rsid w:val="00AE67C6"/>
    <w:rsid w:val="00AE751E"/>
    <w:rsid w:val="00AF22F9"/>
    <w:rsid w:val="00AF33BF"/>
    <w:rsid w:val="00AF48FF"/>
    <w:rsid w:val="00AF7BE8"/>
    <w:rsid w:val="00B07B66"/>
    <w:rsid w:val="00B21472"/>
    <w:rsid w:val="00B215B2"/>
    <w:rsid w:val="00B25E66"/>
    <w:rsid w:val="00B2696F"/>
    <w:rsid w:val="00B30E4C"/>
    <w:rsid w:val="00B3228B"/>
    <w:rsid w:val="00B34229"/>
    <w:rsid w:val="00B44FB0"/>
    <w:rsid w:val="00B52DFE"/>
    <w:rsid w:val="00B556B4"/>
    <w:rsid w:val="00B55C05"/>
    <w:rsid w:val="00B60CED"/>
    <w:rsid w:val="00B63FEE"/>
    <w:rsid w:val="00B74BD8"/>
    <w:rsid w:val="00B840AE"/>
    <w:rsid w:val="00B94B6E"/>
    <w:rsid w:val="00B95D3D"/>
    <w:rsid w:val="00BB1132"/>
    <w:rsid w:val="00BD2C63"/>
    <w:rsid w:val="00BE0281"/>
    <w:rsid w:val="00BE4F1D"/>
    <w:rsid w:val="00BE5F93"/>
    <w:rsid w:val="00BF3B80"/>
    <w:rsid w:val="00C05049"/>
    <w:rsid w:val="00C2288A"/>
    <w:rsid w:val="00C22DF5"/>
    <w:rsid w:val="00C23408"/>
    <w:rsid w:val="00C247C3"/>
    <w:rsid w:val="00C26BF3"/>
    <w:rsid w:val="00C26FAA"/>
    <w:rsid w:val="00C35846"/>
    <w:rsid w:val="00C42075"/>
    <w:rsid w:val="00C45C13"/>
    <w:rsid w:val="00C50C02"/>
    <w:rsid w:val="00C5280A"/>
    <w:rsid w:val="00C57075"/>
    <w:rsid w:val="00C63F87"/>
    <w:rsid w:val="00C64330"/>
    <w:rsid w:val="00C664BA"/>
    <w:rsid w:val="00C80B15"/>
    <w:rsid w:val="00C83102"/>
    <w:rsid w:val="00C87506"/>
    <w:rsid w:val="00C90464"/>
    <w:rsid w:val="00C9212D"/>
    <w:rsid w:val="00C92197"/>
    <w:rsid w:val="00C9391E"/>
    <w:rsid w:val="00CA3115"/>
    <w:rsid w:val="00CA71FB"/>
    <w:rsid w:val="00CB1A5E"/>
    <w:rsid w:val="00CB2EFE"/>
    <w:rsid w:val="00CB3980"/>
    <w:rsid w:val="00CC40B8"/>
    <w:rsid w:val="00CC44B4"/>
    <w:rsid w:val="00CC54AF"/>
    <w:rsid w:val="00CC612A"/>
    <w:rsid w:val="00CD1E95"/>
    <w:rsid w:val="00CD2B8E"/>
    <w:rsid w:val="00CD2E8E"/>
    <w:rsid w:val="00CD5515"/>
    <w:rsid w:val="00CE0C03"/>
    <w:rsid w:val="00CE7545"/>
    <w:rsid w:val="00D00980"/>
    <w:rsid w:val="00D035AA"/>
    <w:rsid w:val="00D04640"/>
    <w:rsid w:val="00D074BF"/>
    <w:rsid w:val="00D13054"/>
    <w:rsid w:val="00D13ABE"/>
    <w:rsid w:val="00D14BE1"/>
    <w:rsid w:val="00D14EB3"/>
    <w:rsid w:val="00D153AA"/>
    <w:rsid w:val="00D32C29"/>
    <w:rsid w:val="00D50CFB"/>
    <w:rsid w:val="00D5129B"/>
    <w:rsid w:val="00D532A6"/>
    <w:rsid w:val="00D61524"/>
    <w:rsid w:val="00D667D9"/>
    <w:rsid w:val="00D67327"/>
    <w:rsid w:val="00D737BB"/>
    <w:rsid w:val="00D769E1"/>
    <w:rsid w:val="00D876C3"/>
    <w:rsid w:val="00D87CA2"/>
    <w:rsid w:val="00D90327"/>
    <w:rsid w:val="00D931DF"/>
    <w:rsid w:val="00DA100D"/>
    <w:rsid w:val="00DA201A"/>
    <w:rsid w:val="00DB6F4C"/>
    <w:rsid w:val="00DC1225"/>
    <w:rsid w:val="00DC3759"/>
    <w:rsid w:val="00DD6CFF"/>
    <w:rsid w:val="00DD72CA"/>
    <w:rsid w:val="00DE38A7"/>
    <w:rsid w:val="00DF4B69"/>
    <w:rsid w:val="00E01FF6"/>
    <w:rsid w:val="00E07E85"/>
    <w:rsid w:val="00E14C2A"/>
    <w:rsid w:val="00E15A0F"/>
    <w:rsid w:val="00E20427"/>
    <w:rsid w:val="00E22D71"/>
    <w:rsid w:val="00E23695"/>
    <w:rsid w:val="00E26248"/>
    <w:rsid w:val="00E304BD"/>
    <w:rsid w:val="00E3256B"/>
    <w:rsid w:val="00E33F57"/>
    <w:rsid w:val="00E3515F"/>
    <w:rsid w:val="00E43448"/>
    <w:rsid w:val="00E55359"/>
    <w:rsid w:val="00E555C6"/>
    <w:rsid w:val="00E62E14"/>
    <w:rsid w:val="00E67CEA"/>
    <w:rsid w:val="00E72CFC"/>
    <w:rsid w:val="00E73B2E"/>
    <w:rsid w:val="00E73BF0"/>
    <w:rsid w:val="00E82958"/>
    <w:rsid w:val="00EA12A6"/>
    <w:rsid w:val="00EA1F53"/>
    <w:rsid w:val="00EA24C2"/>
    <w:rsid w:val="00EA4EE7"/>
    <w:rsid w:val="00EA5235"/>
    <w:rsid w:val="00EA6BD1"/>
    <w:rsid w:val="00EA79C1"/>
    <w:rsid w:val="00EB4AEC"/>
    <w:rsid w:val="00EC3805"/>
    <w:rsid w:val="00EC4302"/>
    <w:rsid w:val="00EC45C4"/>
    <w:rsid w:val="00ED6FE5"/>
    <w:rsid w:val="00EE5307"/>
    <w:rsid w:val="00EE5A10"/>
    <w:rsid w:val="00EE6C71"/>
    <w:rsid w:val="00EF0885"/>
    <w:rsid w:val="00EF3B4D"/>
    <w:rsid w:val="00EF5328"/>
    <w:rsid w:val="00EF65A0"/>
    <w:rsid w:val="00EF7263"/>
    <w:rsid w:val="00F03238"/>
    <w:rsid w:val="00F07027"/>
    <w:rsid w:val="00F1140B"/>
    <w:rsid w:val="00F15554"/>
    <w:rsid w:val="00F21D11"/>
    <w:rsid w:val="00F318C4"/>
    <w:rsid w:val="00F36BB9"/>
    <w:rsid w:val="00F4182E"/>
    <w:rsid w:val="00F501E1"/>
    <w:rsid w:val="00F60432"/>
    <w:rsid w:val="00F60651"/>
    <w:rsid w:val="00F613CD"/>
    <w:rsid w:val="00F61786"/>
    <w:rsid w:val="00F61C29"/>
    <w:rsid w:val="00F709EE"/>
    <w:rsid w:val="00F72063"/>
    <w:rsid w:val="00F723F1"/>
    <w:rsid w:val="00F751F2"/>
    <w:rsid w:val="00F80A45"/>
    <w:rsid w:val="00F8454C"/>
    <w:rsid w:val="00F8784A"/>
    <w:rsid w:val="00F95540"/>
    <w:rsid w:val="00F956D2"/>
    <w:rsid w:val="00F96B92"/>
    <w:rsid w:val="00FA4CCB"/>
    <w:rsid w:val="00FB4140"/>
    <w:rsid w:val="00FB4C30"/>
    <w:rsid w:val="00FC1DC4"/>
    <w:rsid w:val="00FC2D1C"/>
    <w:rsid w:val="00FC36F0"/>
    <w:rsid w:val="00FC57BD"/>
    <w:rsid w:val="00FC6AFE"/>
    <w:rsid w:val="00FD07EB"/>
    <w:rsid w:val="00FD5BFD"/>
    <w:rsid w:val="00FE4779"/>
    <w:rsid w:val="00FE5A4F"/>
    <w:rsid w:val="00FE5F3C"/>
    <w:rsid w:val="00FE7181"/>
    <w:rsid w:val="00FF18F8"/>
    <w:rsid w:val="00FF6C6F"/>
    <w:rsid w:val="00FF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DA749"/>
  <w15:chartTrackingRefBased/>
  <w15:docId w15:val="{D0A1CA1C-1D62-40F6-8FB2-2CFDE071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5C7189"/>
    <w:pPr>
      <w:numPr>
        <w:numId w:val="1"/>
      </w:numPr>
      <w:spacing w:after="0" w:line="240" w:lineRule="auto"/>
      <w:jc w:val="both"/>
      <w:outlineLvl w:val="0"/>
    </w:pPr>
    <w:rPr>
      <w:rFonts w:ascii="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BE1"/>
    <w:pPr>
      <w:spacing w:line="256" w:lineRule="auto"/>
      <w:ind w:left="720"/>
      <w:contextualSpacing/>
    </w:pPr>
  </w:style>
  <w:style w:type="paragraph" w:styleId="Header">
    <w:name w:val="header"/>
    <w:basedOn w:val="Normal"/>
    <w:link w:val="HeaderChar"/>
    <w:uiPriority w:val="99"/>
    <w:unhideWhenUsed/>
    <w:rsid w:val="00414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91C"/>
  </w:style>
  <w:style w:type="paragraph" w:styleId="Footer">
    <w:name w:val="footer"/>
    <w:basedOn w:val="Normal"/>
    <w:link w:val="FooterChar"/>
    <w:uiPriority w:val="99"/>
    <w:unhideWhenUsed/>
    <w:rsid w:val="00414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91C"/>
  </w:style>
  <w:style w:type="paragraph" w:styleId="BalloonText">
    <w:name w:val="Balloon Text"/>
    <w:basedOn w:val="Normal"/>
    <w:link w:val="BalloonTextChar"/>
    <w:uiPriority w:val="99"/>
    <w:semiHidden/>
    <w:unhideWhenUsed/>
    <w:rsid w:val="00C93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91E"/>
    <w:rPr>
      <w:rFonts w:ascii="Segoe UI" w:hAnsi="Segoe UI" w:cs="Segoe UI"/>
      <w:sz w:val="18"/>
      <w:szCs w:val="18"/>
    </w:rPr>
  </w:style>
  <w:style w:type="character" w:customStyle="1" w:styleId="ssparalabel">
    <w:name w:val="ss_paralabel"/>
    <w:basedOn w:val="DefaultParagraphFont"/>
    <w:rsid w:val="00A14AF4"/>
  </w:style>
  <w:style w:type="character" w:customStyle="1" w:styleId="ssbf">
    <w:name w:val="ss_bf"/>
    <w:basedOn w:val="DefaultParagraphFont"/>
    <w:rsid w:val="00A14AF4"/>
  </w:style>
  <w:style w:type="character" w:customStyle="1" w:styleId="ssparacontent">
    <w:name w:val="ss_paracontent"/>
    <w:basedOn w:val="DefaultParagraphFont"/>
    <w:rsid w:val="00A14AF4"/>
  </w:style>
  <w:style w:type="paragraph" w:customStyle="1" w:styleId="Style">
    <w:name w:val="Style"/>
    <w:rsid w:val="004F37A3"/>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uiPriority w:val="9"/>
    <w:rsid w:val="005C7189"/>
    <w:rPr>
      <w:rFonts w:ascii="Times New Roman" w:hAnsi="Times New Roman" w:cs="Times New Roman"/>
      <w:b/>
      <w:sz w:val="28"/>
      <w:szCs w:val="24"/>
    </w:rPr>
  </w:style>
  <w:style w:type="paragraph" w:styleId="TOCHeading">
    <w:name w:val="TOC Heading"/>
    <w:basedOn w:val="Heading1"/>
    <w:next w:val="Normal"/>
    <w:uiPriority w:val="39"/>
    <w:unhideWhenUsed/>
    <w:qFormat/>
    <w:rsid w:val="005C7189"/>
    <w:pPr>
      <w:outlineLvl w:val="9"/>
    </w:pPr>
  </w:style>
  <w:style w:type="paragraph" w:styleId="TOC1">
    <w:name w:val="toc 1"/>
    <w:basedOn w:val="Normal"/>
    <w:next w:val="Normal"/>
    <w:autoRedefine/>
    <w:uiPriority w:val="39"/>
    <w:unhideWhenUsed/>
    <w:rsid w:val="005C7189"/>
    <w:pPr>
      <w:spacing w:after="100"/>
    </w:pPr>
  </w:style>
  <w:style w:type="character" w:styleId="Hyperlink">
    <w:name w:val="Hyperlink"/>
    <w:basedOn w:val="DefaultParagraphFont"/>
    <w:uiPriority w:val="99"/>
    <w:unhideWhenUsed/>
    <w:rsid w:val="005C7189"/>
    <w:rPr>
      <w:color w:val="0563C1" w:themeColor="hyperlink"/>
      <w:u w:val="single"/>
    </w:rPr>
  </w:style>
  <w:style w:type="character" w:styleId="CommentReference">
    <w:name w:val="annotation reference"/>
    <w:basedOn w:val="DefaultParagraphFont"/>
    <w:uiPriority w:val="99"/>
    <w:semiHidden/>
    <w:unhideWhenUsed/>
    <w:rsid w:val="0010018B"/>
    <w:rPr>
      <w:sz w:val="16"/>
      <w:szCs w:val="16"/>
    </w:rPr>
  </w:style>
  <w:style w:type="paragraph" w:styleId="CommentText">
    <w:name w:val="annotation text"/>
    <w:basedOn w:val="Normal"/>
    <w:link w:val="CommentTextChar"/>
    <w:uiPriority w:val="99"/>
    <w:unhideWhenUsed/>
    <w:rsid w:val="0010018B"/>
    <w:pPr>
      <w:spacing w:line="240" w:lineRule="auto"/>
    </w:pPr>
    <w:rPr>
      <w:sz w:val="20"/>
      <w:szCs w:val="20"/>
    </w:rPr>
  </w:style>
  <w:style w:type="character" w:customStyle="1" w:styleId="CommentTextChar">
    <w:name w:val="Comment Text Char"/>
    <w:basedOn w:val="DefaultParagraphFont"/>
    <w:link w:val="CommentText"/>
    <w:uiPriority w:val="99"/>
    <w:rsid w:val="0010018B"/>
    <w:rPr>
      <w:sz w:val="20"/>
      <w:szCs w:val="20"/>
    </w:rPr>
  </w:style>
  <w:style w:type="paragraph" w:styleId="CommentSubject">
    <w:name w:val="annotation subject"/>
    <w:basedOn w:val="CommentText"/>
    <w:next w:val="CommentText"/>
    <w:link w:val="CommentSubjectChar"/>
    <w:uiPriority w:val="99"/>
    <w:semiHidden/>
    <w:unhideWhenUsed/>
    <w:rsid w:val="0010018B"/>
    <w:rPr>
      <w:b/>
      <w:bCs/>
    </w:rPr>
  </w:style>
  <w:style w:type="character" w:customStyle="1" w:styleId="CommentSubjectChar">
    <w:name w:val="Comment Subject Char"/>
    <w:basedOn w:val="CommentTextChar"/>
    <w:link w:val="CommentSubject"/>
    <w:uiPriority w:val="99"/>
    <w:semiHidden/>
    <w:rsid w:val="0010018B"/>
    <w:rPr>
      <w:b/>
      <w:bCs/>
      <w:sz w:val="20"/>
      <w:szCs w:val="20"/>
    </w:rPr>
  </w:style>
  <w:style w:type="paragraph" w:styleId="FootnoteText">
    <w:name w:val="footnote text"/>
    <w:basedOn w:val="Normal"/>
    <w:link w:val="FootnoteTextChar"/>
    <w:uiPriority w:val="99"/>
    <w:semiHidden/>
    <w:unhideWhenUsed/>
    <w:rsid w:val="00215B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BD5"/>
    <w:rPr>
      <w:sz w:val="20"/>
      <w:szCs w:val="20"/>
    </w:rPr>
  </w:style>
  <w:style w:type="character" w:styleId="FootnoteReference">
    <w:name w:val="footnote reference"/>
    <w:basedOn w:val="DefaultParagraphFont"/>
    <w:uiPriority w:val="99"/>
    <w:semiHidden/>
    <w:unhideWhenUsed/>
    <w:rsid w:val="00215BD5"/>
    <w:rPr>
      <w:vertAlign w:val="superscript"/>
    </w:rPr>
  </w:style>
  <w:style w:type="character" w:customStyle="1" w:styleId="UnresolvedMention">
    <w:name w:val="Unresolved Mention"/>
    <w:basedOn w:val="DefaultParagraphFont"/>
    <w:uiPriority w:val="99"/>
    <w:semiHidden/>
    <w:unhideWhenUsed/>
    <w:rsid w:val="00C45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735">
      <w:bodyDiv w:val="1"/>
      <w:marLeft w:val="0"/>
      <w:marRight w:val="0"/>
      <w:marTop w:val="0"/>
      <w:marBottom w:val="0"/>
      <w:divBdr>
        <w:top w:val="none" w:sz="0" w:space="0" w:color="auto"/>
        <w:left w:val="none" w:sz="0" w:space="0" w:color="auto"/>
        <w:bottom w:val="none" w:sz="0" w:space="0" w:color="auto"/>
        <w:right w:val="none" w:sz="0" w:space="0" w:color="auto"/>
      </w:divBdr>
      <w:divsChild>
        <w:div w:id="761335444">
          <w:marLeft w:val="480"/>
          <w:marRight w:val="0"/>
          <w:marTop w:val="0"/>
          <w:marBottom w:val="0"/>
          <w:divBdr>
            <w:top w:val="none" w:sz="0" w:space="0" w:color="auto"/>
            <w:left w:val="none" w:sz="0" w:space="0" w:color="auto"/>
            <w:bottom w:val="none" w:sz="0" w:space="0" w:color="auto"/>
            <w:right w:val="none" w:sz="0" w:space="0" w:color="auto"/>
          </w:divBdr>
        </w:div>
        <w:div w:id="1396902609">
          <w:marLeft w:val="480"/>
          <w:marRight w:val="0"/>
          <w:marTop w:val="0"/>
          <w:marBottom w:val="0"/>
          <w:divBdr>
            <w:top w:val="none" w:sz="0" w:space="0" w:color="auto"/>
            <w:left w:val="none" w:sz="0" w:space="0" w:color="auto"/>
            <w:bottom w:val="none" w:sz="0" w:space="0" w:color="auto"/>
            <w:right w:val="none" w:sz="0" w:space="0" w:color="auto"/>
          </w:divBdr>
        </w:div>
      </w:divsChild>
    </w:div>
    <w:div w:id="209998286">
      <w:bodyDiv w:val="1"/>
      <w:marLeft w:val="0"/>
      <w:marRight w:val="0"/>
      <w:marTop w:val="0"/>
      <w:marBottom w:val="0"/>
      <w:divBdr>
        <w:top w:val="none" w:sz="0" w:space="0" w:color="auto"/>
        <w:left w:val="none" w:sz="0" w:space="0" w:color="auto"/>
        <w:bottom w:val="none" w:sz="0" w:space="0" w:color="auto"/>
        <w:right w:val="none" w:sz="0" w:space="0" w:color="auto"/>
      </w:divBdr>
    </w:div>
    <w:div w:id="296031763">
      <w:bodyDiv w:val="1"/>
      <w:marLeft w:val="0"/>
      <w:marRight w:val="0"/>
      <w:marTop w:val="0"/>
      <w:marBottom w:val="0"/>
      <w:divBdr>
        <w:top w:val="none" w:sz="0" w:space="0" w:color="auto"/>
        <w:left w:val="none" w:sz="0" w:space="0" w:color="auto"/>
        <w:bottom w:val="none" w:sz="0" w:space="0" w:color="auto"/>
        <w:right w:val="none" w:sz="0" w:space="0" w:color="auto"/>
      </w:divBdr>
    </w:div>
    <w:div w:id="620261663">
      <w:bodyDiv w:val="1"/>
      <w:marLeft w:val="0"/>
      <w:marRight w:val="0"/>
      <w:marTop w:val="0"/>
      <w:marBottom w:val="0"/>
      <w:divBdr>
        <w:top w:val="none" w:sz="0" w:space="0" w:color="auto"/>
        <w:left w:val="none" w:sz="0" w:space="0" w:color="auto"/>
        <w:bottom w:val="none" w:sz="0" w:space="0" w:color="auto"/>
        <w:right w:val="none" w:sz="0" w:space="0" w:color="auto"/>
      </w:divBdr>
    </w:div>
    <w:div w:id="820002405">
      <w:bodyDiv w:val="1"/>
      <w:marLeft w:val="0"/>
      <w:marRight w:val="0"/>
      <w:marTop w:val="0"/>
      <w:marBottom w:val="0"/>
      <w:divBdr>
        <w:top w:val="none" w:sz="0" w:space="0" w:color="auto"/>
        <w:left w:val="none" w:sz="0" w:space="0" w:color="auto"/>
        <w:bottom w:val="none" w:sz="0" w:space="0" w:color="auto"/>
        <w:right w:val="none" w:sz="0" w:space="0" w:color="auto"/>
      </w:divBdr>
    </w:div>
    <w:div w:id="831869663">
      <w:bodyDiv w:val="1"/>
      <w:marLeft w:val="0"/>
      <w:marRight w:val="0"/>
      <w:marTop w:val="0"/>
      <w:marBottom w:val="0"/>
      <w:divBdr>
        <w:top w:val="none" w:sz="0" w:space="0" w:color="auto"/>
        <w:left w:val="none" w:sz="0" w:space="0" w:color="auto"/>
        <w:bottom w:val="none" w:sz="0" w:space="0" w:color="auto"/>
        <w:right w:val="none" w:sz="0" w:space="0" w:color="auto"/>
      </w:divBdr>
      <w:divsChild>
        <w:div w:id="1081296551">
          <w:marLeft w:val="480"/>
          <w:marRight w:val="0"/>
          <w:marTop w:val="0"/>
          <w:marBottom w:val="0"/>
          <w:divBdr>
            <w:top w:val="none" w:sz="0" w:space="0" w:color="auto"/>
            <w:left w:val="none" w:sz="0" w:space="0" w:color="auto"/>
            <w:bottom w:val="none" w:sz="0" w:space="0" w:color="auto"/>
            <w:right w:val="none" w:sz="0" w:space="0" w:color="auto"/>
          </w:divBdr>
        </w:div>
        <w:div w:id="611202894">
          <w:marLeft w:val="480"/>
          <w:marRight w:val="0"/>
          <w:marTop w:val="0"/>
          <w:marBottom w:val="0"/>
          <w:divBdr>
            <w:top w:val="none" w:sz="0" w:space="0" w:color="auto"/>
            <w:left w:val="none" w:sz="0" w:space="0" w:color="auto"/>
            <w:bottom w:val="none" w:sz="0" w:space="0" w:color="auto"/>
            <w:right w:val="none" w:sz="0" w:space="0" w:color="auto"/>
          </w:divBdr>
        </w:div>
      </w:divsChild>
    </w:div>
    <w:div w:id="1021931340">
      <w:bodyDiv w:val="1"/>
      <w:marLeft w:val="0"/>
      <w:marRight w:val="0"/>
      <w:marTop w:val="0"/>
      <w:marBottom w:val="0"/>
      <w:divBdr>
        <w:top w:val="none" w:sz="0" w:space="0" w:color="auto"/>
        <w:left w:val="none" w:sz="0" w:space="0" w:color="auto"/>
        <w:bottom w:val="none" w:sz="0" w:space="0" w:color="auto"/>
        <w:right w:val="none" w:sz="0" w:space="0" w:color="auto"/>
      </w:divBdr>
    </w:div>
    <w:div w:id="1095517142">
      <w:bodyDiv w:val="1"/>
      <w:marLeft w:val="0"/>
      <w:marRight w:val="0"/>
      <w:marTop w:val="0"/>
      <w:marBottom w:val="0"/>
      <w:divBdr>
        <w:top w:val="none" w:sz="0" w:space="0" w:color="auto"/>
        <w:left w:val="none" w:sz="0" w:space="0" w:color="auto"/>
        <w:bottom w:val="none" w:sz="0" w:space="0" w:color="auto"/>
        <w:right w:val="none" w:sz="0" w:space="0" w:color="auto"/>
      </w:divBdr>
    </w:div>
    <w:div w:id="1203712659">
      <w:bodyDiv w:val="1"/>
      <w:marLeft w:val="0"/>
      <w:marRight w:val="0"/>
      <w:marTop w:val="0"/>
      <w:marBottom w:val="0"/>
      <w:divBdr>
        <w:top w:val="none" w:sz="0" w:space="0" w:color="auto"/>
        <w:left w:val="none" w:sz="0" w:space="0" w:color="auto"/>
        <w:bottom w:val="none" w:sz="0" w:space="0" w:color="auto"/>
        <w:right w:val="none" w:sz="0" w:space="0" w:color="auto"/>
      </w:divBdr>
    </w:div>
    <w:div w:id="1277642385">
      <w:bodyDiv w:val="1"/>
      <w:marLeft w:val="0"/>
      <w:marRight w:val="0"/>
      <w:marTop w:val="0"/>
      <w:marBottom w:val="0"/>
      <w:divBdr>
        <w:top w:val="none" w:sz="0" w:space="0" w:color="auto"/>
        <w:left w:val="none" w:sz="0" w:space="0" w:color="auto"/>
        <w:bottom w:val="none" w:sz="0" w:space="0" w:color="auto"/>
        <w:right w:val="none" w:sz="0" w:space="0" w:color="auto"/>
      </w:divBdr>
    </w:div>
    <w:div w:id="1329139639">
      <w:bodyDiv w:val="1"/>
      <w:marLeft w:val="0"/>
      <w:marRight w:val="0"/>
      <w:marTop w:val="0"/>
      <w:marBottom w:val="0"/>
      <w:divBdr>
        <w:top w:val="none" w:sz="0" w:space="0" w:color="auto"/>
        <w:left w:val="none" w:sz="0" w:space="0" w:color="auto"/>
        <w:bottom w:val="none" w:sz="0" w:space="0" w:color="auto"/>
        <w:right w:val="none" w:sz="0" w:space="0" w:color="auto"/>
      </w:divBdr>
      <w:divsChild>
        <w:div w:id="936404311">
          <w:marLeft w:val="480"/>
          <w:marRight w:val="0"/>
          <w:marTop w:val="0"/>
          <w:marBottom w:val="0"/>
          <w:divBdr>
            <w:top w:val="none" w:sz="0" w:space="0" w:color="auto"/>
            <w:left w:val="none" w:sz="0" w:space="0" w:color="auto"/>
            <w:bottom w:val="none" w:sz="0" w:space="0" w:color="auto"/>
            <w:right w:val="none" w:sz="0" w:space="0" w:color="auto"/>
          </w:divBdr>
        </w:div>
        <w:div w:id="1675649670">
          <w:marLeft w:val="480"/>
          <w:marRight w:val="0"/>
          <w:marTop w:val="0"/>
          <w:marBottom w:val="0"/>
          <w:divBdr>
            <w:top w:val="none" w:sz="0" w:space="0" w:color="auto"/>
            <w:left w:val="none" w:sz="0" w:space="0" w:color="auto"/>
            <w:bottom w:val="none" w:sz="0" w:space="0" w:color="auto"/>
            <w:right w:val="none" w:sz="0" w:space="0" w:color="auto"/>
          </w:divBdr>
        </w:div>
        <w:div w:id="1173301563">
          <w:marLeft w:val="480"/>
          <w:marRight w:val="0"/>
          <w:marTop w:val="0"/>
          <w:marBottom w:val="0"/>
          <w:divBdr>
            <w:top w:val="none" w:sz="0" w:space="0" w:color="auto"/>
            <w:left w:val="none" w:sz="0" w:space="0" w:color="auto"/>
            <w:bottom w:val="none" w:sz="0" w:space="0" w:color="auto"/>
            <w:right w:val="none" w:sz="0" w:space="0" w:color="auto"/>
          </w:divBdr>
        </w:div>
      </w:divsChild>
    </w:div>
    <w:div w:id="1338313495">
      <w:bodyDiv w:val="1"/>
      <w:marLeft w:val="0"/>
      <w:marRight w:val="0"/>
      <w:marTop w:val="0"/>
      <w:marBottom w:val="0"/>
      <w:divBdr>
        <w:top w:val="none" w:sz="0" w:space="0" w:color="auto"/>
        <w:left w:val="none" w:sz="0" w:space="0" w:color="auto"/>
        <w:bottom w:val="none" w:sz="0" w:space="0" w:color="auto"/>
        <w:right w:val="none" w:sz="0" w:space="0" w:color="auto"/>
      </w:divBdr>
      <w:divsChild>
        <w:div w:id="675808033">
          <w:marLeft w:val="480"/>
          <w:marRight w:val="0"/>
          <w:marTop w:val="0"/>
          <w:marBottom w:val="0"/>
          <w:divBdr>
            <w:top w:val="none" w:sz="0" w:space="0" w:color="auto"/>
            <w:left w:val="none" w:sz="0" w:space="0" w:color="auto"/>
            <w:bottom w:val="none" w:sz="0" w:space="0" w:color="auto"/>
            <w:right w:val="none" w:sz="0" w:space="0" w:color="auto"/>
          </w:divBdr>
        </w:div>
        <w:div w:id="1719352536">
          <w:marLeft w:val="480"/>
          <w:marRight w:val="0"/>
          <w:marTop w:val="0"/>
          <w:marBottom w:val="0"/>
          <w:divBdr>
            <w:top w:val="none" w:sz="0" w:space="0" w:color="auto"/>
            <w:left w:val="none" w:sz="0" w:space="0" w:color="auto"/>
            <w:bottom w:val="none" w:sz="0" w:space="0" w:color="auto"/>
            <w:right w:val="none" w:sz="0" w:space="0" w:color="auto"/>
          </w:divBdr>
          <w:divsChild>
            <w:div w:id="580604122">
              <w:marLeft w:val="480"/>
              <w:marRight w:val="0"/>
              <w:marTop w:val="0"/>
              <w:marBottom w:val="0"/>
              <w:divBdr>
                <w:top w:val="none" w:sz="0" w:space="0" w:color="auto"/>
                <w:left w:val="none" w:sz="0" w:space="0" w:color="auto"/>
                <w:bottom w:val="none" w:sz="0" w:space="0" w:color="auto"/>
                <w:right w:val="none" w:sz="0" w:space="0" w:color="auto"/>
              </w:divBdr>
              <w:divsChild>
                <w:div w:id="244341301">
                  <w:marLeft w:val="480"/>
                  <w:marRight w:val="0"/>
                  <w:marTop w:val="0"/>
                  <w:marBottom w:val="0"/>
                  <w:divBdr>
                    <w:top w:val="none" w:sz="0" w:space="0" w:color="auto"/>
                    <w:left w:val="none" w:sz="0" w:space="0" w:color="auto"/>
                    <w:bottom w:val="none" w:sz="0" w:space="0" w:color="auto"/>
                    <w:right w:val="none" w:sz="0" w:space="0" w:color="auto"/>
                  </w:divBdr>
                </w:div>
                <w:div w:id="1091850470">
                  <w:marLeft w:val="480"/>
                  <w:marRight w:val="0"/>
                  <w:marTop w:val="0"/>
                  <w:marBottom w:val="0"/>
                  <w:divBdr>
                    <w:top w:val="none" w:sz="0" w:space="0" w:color="auto"/>
                    <w:left w:val="none" w:sz="0" w:space="0" w:color="auto"/>
                    <w:bottom w:val="none" w:sz="0" w:space="0" w:color="auto"/>
                    <w:right w:val="none" w:sz="0" w:space="0" w:color="auto"/>
                  </w:divBdr>
                </w:div>
                <w:div w:id="744836372">
                  <w:marLeft w:val="480"/>
                  <w:marRight w:val="0"/>
                  <w:marTop w:val="0"/>
                  <w:marBottom w:val="0"/>
                  <w:divBdr>
                    <w:top w:val="none" w:sz="0" w:space="0" w:color="auto"/>
                    <w:left w:val="none" w:sz="0" w:space="0" w:color="auto"/>
                    <w:bottom w:val="none" w:sz="0" w:space="0" w:color="auto"/>
                    <w:right w:val="none" w:sz="0" w:space="0" w:color="auto"/>
                  </w:divBdr>
                </w:div>
              </w:divsChild>
            </w:div>
            <w:div w:id="1646658646">
              <w:marLeft w:val="480"/>
              <w:marRight w:val="0"/>
              <w:marTop w:val="0"/>
              <w:marBottom w:val="0"/>
              <w:divBdr>
                <w:top w:val="none" w:sz="0" w:space="0" w:color="auto"/>
                <w:left w:val="none" w:sz="0" w:space="0" w:color="auto"/>
                <w:bottom w:val="none" w:sz="0" w:space="0" w:color="auto"/>
                <w:right w:val="none" w:sz="0" w:space="0" w:color="auto"/>
              </w:divBdr>
            </w:div>
            <w:div w:id="1710761061">
              <w:marLeft w:val="480"/>
              <w:marRight w:val="0"/>
              <w:marTop w:val="0"/>
              <w:marBottom w:val="0"/>
              <w:divBdr>
                <w:top w:val="none" w:sz="0" w:space="0" w:color="auto"/>
                <w:left w:val="none" w:sz="0" w:space="0" w:color="auto"/>
                <w:bottom w:val="none" w:sz="0" w:space="0" w:color="auto"/>
                <w:right w:val="none" w:sz="0" w:space="0" w:color="auto"/>
              </w:divBdr>
            </w:div>
            <w:div w:id="9191739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67634784">
      <w:bodyDiv w:val="1"/>
      <w:marLeft w:val="0"/>
      <w:marRight w:val="0"/>
      <w:marTop w:val="0"/>
      <w:marBottom w:val="0"/>
      <w:divBdr>
        <w:top w:val="none" w:sz="0" w:space="0" w:color="auto"/>
        <w:left w:val="none" w:sz="0" w:space="0" w:color="auto"/>
        <w:bottom w:val="none" w:sz="0" w:space="0" w:color="auto"/>
        <w:right w:val="none" w:sz="0" w:space="0" w:color="auto"/>
      </w:divBdr>
    </w:div>
    <w:div w:id="1496340645">
      <w:bodyDiv w:val="1"/>
      <w:marLeft w:val="0"/>
      <w:marRight w:val="0"/>
      <w:marTop w:val="0"/>
      <w:marBottom w:val="0"/>
      <w:divBdr>
        <w:top w:val="none" w:sz="0" w:space="0" w:color="auto"/>
        <w:left w:val="none" w:sz="0" w:space="0" w:color="auto"/>
        <w:bottom w:val="none" w:sz="0" w:space="0" w:color="auto"/>
        <w:right w:val="none" w:sz="0" w:space="0" w:color="auto"/>
      </w:divBdr>
      <w:divsChild>
        <w:div w:id="736394449">
          <w:marLeft w:val="480"/>
          <w:marRight w:val="0"/>
          <w:marTop w:val="0"/>
          <w:marBottom w:val="0"/>
          <w:divBdr>
            <w:top w:val="none" w:sz="0" w:space="0" w:color="auto"/>
            <w:left w:val="none" w:sz="0" w:space="0" w:color="auto"/>
            <w:bottom w:val="none" w:sz="0" w:space="0" w:color="auto"/>
            <w:right w:val="none" w:sz="0" w:space="0" w:color="auto"/>
          </w:divBdr>
        </w:div>
        <w:div w:id="59406305">
          <w:marLeft w:val="480"/>
          <w:marRight w:val="0"/>
          <w:marTop w:val="0"/>
          <w:marBottom w:val="0"/>
          <w:divBdr>
            <w:top w:val="none" w:sz="0" w:space="0" w:color="auto"/>
            <w:left w:val="none" w:sz="0" w:space="0" w:color="auto"/>
            <w:bottom w:val="none" w:sz="0" w:space="0" w:color="auto"/>
            <w:right w:val="none" w:sz="0" w:space="0" w:color="auto"/>
          </w:divBdr>
          <w:divsChild>
            <w:div w:id="445318686">
              <w:marLeft w:val="480"/>
              <w:marRight w:val="0"/>
              <w:marTop w:val="0"/>
              <w:marBottom w:val="0"/>
              <w:divBdr>
                <w:top w:val="none" w:sz="0" w:space="0" w:color="auto"/>
                <w:left w:val="none" w:sz="0" w:space="0" w:color="auto"/>
                <w:bottom w:val="none" w:sz="0" w:space="0" w:color="auto"/>
                <w:right w:val="none" w:sz="0" w:space="0" w:color="auto"/>
              </w:divBdr>
            </w:div>
            <w:div w:id="1120101393">
              <w:marLeft w:val="480"/>
              <w:marRight w:val="0"/>
              <w:marTop w:val="0"/>
              <w:marBottom w:val="0"/>
              <w:divBdr>
                <w:top w:val="none" w:sz="0" w:space="0" w:color="auto"/>
                <w:left w:val="none" w:sz="0" w:space="0" w:color="auto"/>
                <w:bottom w:val="none" w:sz="0" w:space="0" w:color="auto"/>
                <w:right w:val="none" w:sz="0" w:space="0" w:color="auto"/>
              </w:divBdr>
            </w:div>
            <w:div w:id="1978490500">
              <w:marLeft w:val="480"/>
              <w:marRight w:val="0"/>
              <w:marTop w:val="0"/>
              <w:marBottom w:val="0"/>
              <w:divBdr>
                <w:top w:val="none" w:sz="0" w:space="0" w:color="auto"/>
                <w:left w:val="none" w:sz="0" w:space="0" w:color="auto"/>
                <w:bottom w:val="none" w:sz="0" w:space="0" w:color="auto"/>
                <w:right w:val="none" w:sz="0" w:space="0" w:color="auto"/>
              </w:divBdr>
            </w:div>
          </w:divsChild>
        </w:div>
        <w:div w:id="690954963">
          <w:marLeft w:val="480"/>
          <w:marRight w:val="0"/>
          <w:marTop w:val="0"/>
          <w:marBottom w:val="0"/>
          <w:divBdr>
            <w:top w:val="none" w:sz="0" w:space="0" w:color="auto"/>
            <w:left w:val="none" w:sz="0" w:space="0" w:color="auto"/>
            <w:bottom w:val="none" w:sz="0" w:space="0" w:color="auto"/>
            <w:right w:val="none" w:sz="0" w:space="0" w:color="auto"/>
          </w:divBdr>
        </w:div>
        <w:div w:id="2086535734">
          <w:marLeft w:val="480"/>
          <w:marRight w:val="0"/>
          <w:marTop w:val="0"/>
          <w:marBottom w:val="0"/>
          <w:divBdr>
            <w:top w:val="none" w:sz="0" w:space="0" w:color="auto"/>
            <w:left w:val="none" w:sz="0" w:space="0" w:color="auto"/>
            <w:bottom w:val="none" w:sz="0" w:space="0" w:color="auto"/>
            <w:right w:val="none" w:sz="0" w:space="0" w:color="auto"/>
          </w:divBdr>
        </w:div>
        <w:div w:id="1809586165">
          <w:marLeft w:val="480"/>
          <w:marRight w:val="0"/>
          <w:marTop w:val="0"/>
          <w:marBottom w:val="0"/>
          <w:divBdr>
            <w:top w:val="none" w:sz="0" w:space="0" w:color="auto"/>
            <w:left w:val="none" w:sz="0" w:space="0" w:color="auto"/>
            <w:bottom w:val="none" w:sz="0" w:space="0" w:color="auto"/>
            <w:right w:val="none" w:sz="0" w:space="0" w:color="auto"/>
          </w:divBdr>
        </w:div>
        <w:div w:id="874922334">
          <w:marLeft w:val="480"/>
          <w:marRight w:val="0"/>
          <w:marTop w:val="0"/>
          <w:marBottom w:val="0"/>
          <w:divBdr>
            <w:top w:val="none" w:sz="0" w:space="0" w:color="auto"/>
            <w:left w:val="none" w:sz="0" w:space="0" w:color="auto"/>
            <w:bottom w:val="none" w:sz="0" w:space="0" w:color="auto"/>
            <w:right w:val="none" w:sz="0" w:space="0" w:color="auto"/>
          </w:divBdr>
        </w:div>
        <w:div w:id="1126896071">
          <w:marLeft w:val="480"/>
          <w:marRight w:val="0"/>
          <w:marTop w:val="0"/>
          <w:marBottom w:val="0"/>
          <w:divBdr>
            <w:top w:val="none" w:sz="0" w:space="0" w:color="auto"/>
            <w:left w:val="none" w:sz="0" w:space="0" w:color="auto"/>
            <w:bottom w:val="none" w:sz="0" w:space="0" w:color="auto"/>
            <w:right w:val="none" w:sz="0" w:space="0" w:color="auto"/>
          </w:divBdr>
        </w:div>
        <w:div w:id="280651598">
          <w:marLeft w:val="480"/>
          <w:marRight w:val="0"/>
          <w:marTop w:val="0"/>
          <w:marBottom w:val="0"/>
          <w:divBdr>
            <w:top w:val="none" w:sz="0" w:space="0" w:color="auto"/>
            <w:left w:val="none" w:sz="0" w:space="0" w:color="auto"/>
            <w:bottom w:val="none" w:sz="0" w:space="0" w:color="auto"/>
            <w:right w:val="none" w:sz="0" w:space="0" w:color="auto"/>
          </w:divBdr>
        </w:div>
        <w:div w:id="1216700148">
          <w:marLeft w:val="480"/>
          <w:marRight w:val="0"/>
          <w:marTop w:val="0"/>
          <w:marBottom w:val="0"/>
          <w:divBdr>
            <w:top w:val="none" w:sz="0" w:space="0" w:color="auto"/>
            <w:left w:val="none" w:sz="0" w:space="0" w:color="auto"/>
            <w:bottom w:val="none" w:sz="0" w:space="0" w:color="auto"/>
            <w:right w:val="none" w:sz="0" w:space="0" w:color="auto"/>
          </w:divBdr>
        </w:div>
        <w:div w:id="1365136232">
          <w:marLeft w:val="480"/>
          <w:marRight w:val="0"/>
          <w:marTop w:val="0"/>
          <w:marBottom w:val="0"/>
          <w:divBdr>
            <w:top w:val="none" w:sz="0" w:space="0" w:color="auto"/>
            <w:left w:val="none" w:sz="0" w:space="0" w:color="auto"/>
            <w:bottom w:val="none" w:sz="0" w:space="0" w:color="auto"/>
            <w:right w:val="none" w:sz="0" w:space="0" w:color="auto"/>
          </w:divBdr>
        </w:div>
        <w:div w:id="1297641775">
          <w:marLeft w:val="480"/>
          <w:marRight w:val="0"/>
          <w:marTop w:val="0"/>
          <w:marBottom w:val="0"/>
          <w:divBdr>
            <w:top w:val="none" w:sz="0" w:space="0" w:color="auto"/>
            <w:left w:val="none" w:sz="0" w:space="0" w:color="auto"/>
            <w:bottom w:val="none" w:sz="0" w:space="0" w:color="auto"/>
            <w:right w:val="none" w:sz="0" w:space="0" w:color="auto"/>
          </w:divBdr>
        </w:div>
        <w:div w:id="1422944239">
          <w:marLeft w:val="480"/>
          <w:marRight w:val="0"/>
          <w:marTop w:val="0"/>
          <w:marBottom w:val="0"/>
          <w:divBdr>
            <w:top w:val="none" w:sz="0" w:space="0" w:color="auto"/>
            <w:left w:val="none" w:sz="0" w:space="0" w:color="auto"/>
            <w:bottom w:val="none" w:sz="0" w:space="0" w:color="auto"/>
            <w:right w:val="none" w:sz="0" w:space="0" w:color="auto"/>
          </w:divBdr>
        </w:div>
      </w:divsChild>
    </w:div>
    <w:div w:id="1591961934">
      <w:bodyDiv w:val="1"/>
      <w:marLeft w:val="0"/>
      <w:marRight w:val="0"/>
      <w:marTop w:val="0"/>
      <w:marBottom w:val="0"/>
      <w:divBdr>
        <w:top w:val="none" w:sz="0" w:space="0" w:color="auto"/>
        <w:left w:val="none" w:sz="0" w:space="0" w:color="auto"/>
        <w:bottom w:val="none" w:sz="0" w:space="0" w:color="auto"/>
        <w:right w:val="none" w:sz="0" w:space="0" w:color="auto"/>
      </w:divBdr>
    </w:div>
    <w:div w:id="1614285595">
      <w:bodyDiv w:val="1"/>
      <w:marLeft w:val="0"/>
      <w:marRight w:val="0"/>
      <w:marTop w:val="0"/>
      <w:marBottom w:val="0"/>
      <w:divBdr>
        <w:top w:val="none" w:sz="0" w:space="0" w:color="auto"/>
        <w:left w:val="none" w:sz="0" w:space="0" w:color="auto"/>
        <w:bottom w:val="none" w:sz="0" w:space="0" w:color="auto"/>
        <w:right w:val="none" w:sz="0" w:space="0" w:color="auto"/>
      </w:divBdr>
    </w:div>
    <w:div w:id="1691644710">
      <w:bodyDiv w:val="1"/>
      <w:marLeft w:val="0"/>
      <w:marRight w:val="0"/>
      <w:marTop w:val="0"/>
      <w:marBottom w:val="0"/>
      <w:divBdr>
        <w:top w:val="none" w:sz="0" w:space="0" w:color="auto"/>
        <w:left w:val="none" w:sz="0" w:space="0" w:color="auto"/>
        <w:bottom w:val="none" w:sz="0" w:space="0" w:color="auto"/>
        <w:right w:val="none" w:sz="0" w:space="0" w:color="auto"/>
      </w:divBdr>
    </w:div>
    <w:div w:id="1741442133">
      <w:bodyDiv w:val="1"/>
      <w:marLeft w:val="0"/>
      <w:marRight w:val="0"/>
      <w:marTop w:val="0"/>
      <w:marBottom w:val="0"/>
      <w:divBdr>
        <w:top w:val="none" w:sz="0" w:space="0" w:color="auto"/>
        <w:left w:val="none" w:sz="0" w:space="0" w:color="auto"/>
        <w:bottom w:val="none" w:sz="0" w:space="0" w:color="auto"/>
        <w:right w:val="none" w:sz="0" w:space="0" w:color="auto"/>
      </w:divBdr>
      <w:divsChild>
        <w:div w:id="211580913">
          <w:marLeft w:val="480"/>
          <w:marRight w:val="0"/>
          <w:marTop w:val="0"/>
          <w:marBottom w:val="0"/>
          <w:divBdr>
            <w:top w:val="none" w:sz="0" w:space="0" w:color="auto"/>
            <w:left w:val="none" w:sz="0" w:space="0" w:color="auto"/>
            <w:bottom w:val="none" w:sz="0" w:space="0" w:color="auto"/>
            <w:right w:val="none" w:sz="0" w:space="0" w:color="auto"/>
          </w:divBdr>
        </w:div>
        <w:div w:id="23790241">
          <w:marLeft w:val="480"/>
          <w:marRight w:val="0"/>
          <w:marTop w:val="0"/>
          <w:marBottom w:val="0"/>
          <w:divBdr>
            <w:top w:val="none" w:sz="0" w:space="0" w:color="auto"/>
            <w:left w:val="none" w:sz="0" w:space="0" w:color="auto"/>
            <w:bottom w:val="none" w:sz="0" w:space="0" w:color="auto"/>
            <w:right w:val="none" w:sz="0" w:space="0" w:color="auto"/>
          </w:divBdr>
        </w:div>
        <w:div w:id="1410931659">
          <w:marLeft w:val="480"/>
          <w:marRight w:val="0"/>
          <w:marTop w:val="0"/>
          <w:marBottom w:val="0"/>
          <w:divBdr>
            <w:top w:val="none" w:sz="0" w:space="0" w:color="auto"/>
            <w:left w:val="none" w:sz="0" w:space="0" w:color="auto"/>
            <w:bottom w:val="none" w:sz="0" w:space="0" w:color="auto"/>
            <w:right w:val="none" w:sz="0" w:space="0" w:color="auto"/>
          </w:divBdr>
        </w:div>
        <w:div w:id="1120538214">
          <w:marLeft w:val="480"/>
          <w:marRight w:val="0"/>
          <w:marTop w:val="0"/>
          <w:marBottom w:val="0"/>
          <w:divBdr>
            <w:top w:val="none" w:sz="0" w:space="0" w:color="auto"/>
            <w:left w:val="none" w:sz="0" w:space="0" w:color="auto"/>
            <w:bottom w:val="none" w:sz="0" w:space="0" w:color="auto"/>
            <w:right w:val="none" w:sz="0" w:space="0" w:color="auto"/>
          </w:divBdr>
        </w:div>
        <w:div w:id="2028019615">
          <w:marLeft w:val="480"/>
          <w:marRight w:val="0"/>
          <w:marTop w:val="0"/>
          <w:marBottom w:val="0"/>
          <w:divBdr>
            <w:top w:val="none" w:sz="0" w:space="0" w:color="auto"/>
            <w:left w:val="none" w:sz="0" w:space="0" w:color="auto"/>
            <w:bottom w:val="none" w:sz="0" w:space="0" w:color="auto"/>
            <w:right w:val="none" w:sz="0" w:space="0" w:color="auto"/>
          </w:divBdr>
        </w:div>
        <w:div w:id="802504554">
          <w:marLeft w:val="480"/>
          <w:marRight w:val="0"/>
          <w:marTop w:val="0"/>
          <w:marBottom w:val="0"/>
          <w:divBdr>
            <w:top w:val="none" w:sz="0" w:space="0" w:color="auto"/>
            <w:left w:val="none" w:sz="0" w:space="0" w:color="auto"/>
            <w:bottom w:val="none" w:sz="0" w:space="0" w:color="auto"/>
            <w:right w:val="none" w:sz="0" w:space="0" w:color="auto"/>
          </w:divBdr>
        </w:div>
        <w:div w:id="1931115091">
          <w:marLeft w:val="480"/>
          <w:marRight w:val="0"/>
          <w:marTop w:val="0"/>
          <w:marBottom w:val="0"/>
          <w:divBdr>
            <w:top w:val="none" w:sz="0" w:space="0" w:color="auto"/>
            <w:left w:val="none" w:sz="0" w:space="0" w:color="auto"/>
            <w:bottom w:val="none" w:sz="0" w:space="0" w:color="auto"/>
            <w:right w:val="none" w:sz="0" w:space="0" w:color="auto"/>
          </w:divBdr>
        </w:div>
      </w:divsChild>
    </w:div>
    <w:div w:id="1768040961">
      <w:bodyDiv w:val="1"/>
      <w:marLeft w:val="0"/>
      <w:marRight w:val="0"/>
      <w:marTop w:val="0"/>
      <w:marBottom w:val="0"/>
      <w:divBdr>
        <w:top w:val="none" w:sz="0" w:space="0" w:color="auto"/>
        <w:left w:val="none" w:sz="0" w:space="0" w:color="auto"/>
        <w:bottom w:val="none" w:sz="0" w:space="0" w:color="auto"/>
        <w:right w:val="none" w:sz="0" w:space="0" w:color="auto"/>
      </w:divBdr>
      <w:divsChild>
        <w:div w:id="1204294167">
          <w:marLeft w:val="480"/>
          <w:marRight w:val="0"/>
          <w:marTop w:val="0"/>
          <w:marBottom w:val="0"/>
          <w:divBdr>
            <w:top w:val="none" w:sz="0" w:space="0" w:color="auto"/>
            <w:left w:val="none" w:sz="0" w:space="0" w:color="auto"/>
            <w:bottom w:val="none" w:sz="0" w:space="0" w:color="auto"/>
            <w:right w:val="none" w:sz="0" w:space="0" w:color="auto"/>
          </w:divBdr>
        </w:div>
        <w:div w:id="157312142">
          <w:marLeft w:val="480"/>
          <w:marRight w:val="0"/>
          <w:marTop w:val="0"/>
          <w:marBottom w:val="0"/>
          <w:divBdr>
            <w:top w:val="none" w:sz="0" w:space="0" w:color="auto"/>
            <w:left w:val="none" w:sz="0" w:space="0" w:color="auto"/>
            <w:bottom w:val="none" w:sz="0" w:space="0" w:color="auto"/>
            <w:right w:val="none" w:sz="0" w:space="0" w:color="auto"/>
          </w:divBdr>
        </w:div>
        <w:div w:id="1157960221">
          <w:marLeft w:val="480"/>
          <w:marRight w:val="0"/>
          <w:marTop w:val="0"/>
          <w:marBottom w:val="0"/>
          <w:divBdr>
            <w:top w:val="none" w:sz="0" w:space="0" w:color="auto"/>
            <w:left w:val="none" w:sz="0" w:space="0" w:color="auto"/>
            <w:bottom w:val="none" w:sz="0" w:space="0" w:color="auto"/>
            <w:right w:val="none" w:sz="0" w:space="0" w:color="auto"/>
          </w:divBdr>
        </w:div>
        <w:div w:id="2124568249">
          <w:marLeft w:val="480"/>
          <w:marRight w:val="0"/>
          <w:marTop w:val="0"/>
          <w:marBottom w:val="0"/>
          <w:divBdr>
            <w:top w:val="none" w:sz="0" w:space="0" w:color="auto"/>
            <w:left w:val="none" w:sz="0" w:space="0" w:color="auto"/>
            <w:bottom w:val="none" w:sz="0" w:space="0" w:color="auto"/>
            <w:right w:val="none" w:sz="0" w:space="0" w:color="auto"/>
          </w:divBdr>
        </w:div>
        <w:div w:id="267469105">
          <w:marLeft w:val="480"/>
          <w:marRight w:val="0"/>
          <w:marTop w:val="0"/>
          <w:marBottom w:val="0"/>
          <w:divBdr>
            <w:top w:val="none" w:sz="0" w:space="0" w:color="auto"/>
            <w:left w:val="none" w:sz="0" w:space="0" w:color="auto"/>
            <w:bottom w:val="none" w:sz="0" w:space="0" w:color="auto"/>
            <w:right w:val="none" w:sz="0" w:space="0" w:color="auto"/>
          </w:divBdr>
        </w:div>
        <w:div w:id="45034382">
          <w:marLeft w:val="480"/>
          <w:marRight w:val="0"/>
          <w:marTop w:val="0"/>
          <w:marBottom w:val="0"/>
          <w:divBdr>
            <w:top w:val="none" w:sz="0" w:space="0" w:color="auto"/>
            <w:left w:val="none" w:sz="0" w:space="0" w:color="auto"/>
            <w:bottom w:val="none" w:sz="0" w:space="0" w:color="auto"/>
            <w:right w:val="none" w:sz="0" w:space="0" w:color="auto"/>
          </w:divBdr>
        </w:div>
        <w:div w:id="2105035417">
          <w:marLeft w:val="480"/>
          <w:marRight w:val="0"/>
          <w:marTop w:val="0"/>
          <w:marBottom w:val="0"/>
          <w:divBdr>
            <w:top w:val="none" w:sz="0" w:space="0" w:color="auto"/>
            <w:left w:val="none" w:sz="0" w:space="0" w:color="auto"/>
            <w:bottom w:val="none" w:sz="0" w:space="0" w:color="auto"/>
            <w:right w:val="none" w:sz="0" w:space="0" w:color="auto"/>
          </w:divBdr>
        </w:div>
      </w:divsChild>
    </w:div>
    <w:div w:id="1785072413">
      <w:bodyDiv w:val="1"/>
      <w:marLeft w:val="0"/>
      <w:marRight w:val="0"/>
      <w:marTop w:val="0"/>
      <w:marBottom w:val="0"/>
      <w:divBdr>
        <w:top w:val="none" w:sz="0" w:space="0" w:color="auto"/>
        <w:left w:val="none" w:sz="0" w:space="0" w:color="auto"/>
        <w:bottom w:val="none" w:sz="0" w:space="0" w:color="auto"/>
        <w:right w:val="none" w:sz="0" w:space="0" w:color="auto"/>
      </w:divBdr>
      <w:divsChild>
        <w:div w:id="429349537">
          <w:marLeft w:val="480"/>
          <w:marRight w:val="0"/>
          <w:marTop w:val="0"/>
          <w:marBottom w:val="0"/>
          <w:divBdr>
            <w:top w:val="none" w:sz="0" w:space="0" w:color="auto"/>
            <w:left w:val="none" w:sz="0" w:space="0" w:color="auto"/>
            <w:bottom w:val="none" w:sz="0" w:space="0" w:color="auto"/>
            <w:right w:val="none" w:sz="0" w:space="0" w:color="auto"/>
          </w:divBdr>
        </w:div>
        <w:div w:id="1701007639">
          <w:marLeft w:val="480"/>
          <w:marRight w:val="0"/>
          <w:marTop w:val="0"/>
          <w:marBottom w:val="0"/>
          <w:divBdr>
            <w:top w:val="none" w:sz="0" w:space="0" w:color="auto"/>
            <w:left w:val="none" w:sz="0" w:space="0" w:color="auto"/>
            <w:bottom w:val="none" w:sz="0" w:space="0" w:color="auto"/>
            <w:right w:val="none" w:sz="0" w:space="0" w:color="auto"/>
          </w:divBdr>
        </w:div>
        <w:div w:id="242184152">
          <w:marLeft w:val="480"/>
          <w:marRight w:val="0"/>
          <w:marTop w:val="0"/>
          <w:marBottom w:val="0"/>
          <w:divBdr>
            <w:top w:val="none" w:sz="0" w:space="0" w:color="auto"/>
            <w:left w:val="none" w:sz="0" w:space="0" w:color="auto"/>
            <w:bottom w:val="none" w:sz="0" w:space="0" w:color="auto"/>
            <w:right w:val="none" w:sz="0" w:space="0" w:color="auto"/>
          </w:divBdr>
        </w:div>
      </w:divsChild>
    </w:div>
    <w:div w:id="2075199839">
      <w:bodyDiv w:val="1"/>
      <w:marLeft w:val="0"/>
      <w:marRight w:val="0"/>
      <w:marTop w:val="0"/>
      <w:marBottom w:val="0"/>
      <w:divBdr>
        <w:top w:val="none" w:sz="0" w:space="0" w:color="auto"/>
        <w:left w:val="none" w:sz="0" w:space="0" w:color="auto"/>
        <w:bottom w:val="none" w:sz="0" w:space="0" w:color="auto"/>
        <w:right w:val="none" w:sz="0" w:space="0" w:color="auto"/>
      </w:divBdr>
    </w:div>
    <w:div w:id="2118477064">
      <w:bodyDiv w:val="1"/>
      <w:marLeft w:val="0"/>
      <w:marRight w:val="0"/>
      <w:marTop w:val="0"/>
      <w:marBottom w:val="0"/>
      <w:divBdr>
        <w:top w:val="none" w:sz="0" w:space="0" w:color="auto"/>
        <w:left w:val="none" w:sz="0" w:space="0" w:color="auto"/>
        <w:bottom w:val="none" w:sz="0" w:space="0" w:color="auto"/>
        <w:right w:val="none" w:sz="0" w:space="0" w:color="auto"/>
      </w:divBdr>
      <w:divsChild>
        <w:div w:id="992373540">
          <w:marLeft w:val="480"/>
          <w:marRight w:val="0"/>
          <w:marTop w:val="0"/>
          <w:marBottom w:val="0"/>
          <w:divBdr>
            <w:top w:val="none" w:sz="0" w:space="0" w:color="auto"/>
            <w:left w:val="none" w:sz="0" w:space="0" w:color="auto"/>
            <w:bottom w:val="none" w:sz="0" w:space="0" w:color="auto"/>
            <w:right w:val="none" w:sz="0" w:space="0" w:color="auto"/>
          </w:divBdr>
        </w:div>
        <w:div w:id="1533346515">
          <w:marLeft w:val="480"/>
          <w:marRight w:val="0"/>
          <w:marTop w:val="0"/>
          <w:marBottom w:val="0"/>
          <w:divBdr>
            <w:top w:val="none" w:sz="0" w:space="0" w:color="auto"/>
            <w:left w:val="none" w:sz="0" w:space="0" w:color="auto"/>
            <w:bottom w:val="none" w:sz="0" w:space="0" w:color="auto"/>
            <w:right w:val="none" w:sz="0" w:space="0" w:color="auto"/>
          </w:divBdr>
          <w:divsChild>
            <w:div w:id="1768192476">
              <w:marLeft w:val="480"/>
              <w:marRight w:val="0"/>
              <w:marTop w:val="0"/>
              <w:marBottom w:val="0"/>
              <w:divBdr>
                <w:top w:val="none" w:sz="0" w:space="0" w:color="auto"/>
                <w:left w:val="none" w:sz="0" w:space="0" w:color="auto"/>
                <w:bottom w:val="none" w:sz="0" w:space="0" w:color="auto"/>
                <w:right w:val="none" w:sz="0" w:space="0" w:color="auto"/>
              </w:divBdr>
            </w:div>
            <w:div w:id="395935548">
              <w:marLeft w:val="480"/>
              <w:marRight w:val="0"/>
              <w:marTop w:val="0"/>
              <w:marBottom w:val="0"/>
              <w:divBdr>
                <w:top w:val="none" w:sz="0" w:space="0" w:color="auto"/>
                <w:left w:val="none" w:sz="0" w:space="0" w:color="auto"/>
                <w:bottom w:val="none" w:sz="0" w:space="0" w:color="auto"/>
                <w:right w:val="none" w:sz="0" w:space="0" w:color="auto"/>
              </w:divBdr>
            </w:div>
            <w:div w:id="1174419939">
              <w:marLeft w:val="480"/>
              <w:marRight w:val="0"/>
              <w:marTop w:val="0"/>
              <w:marBottom w:val="0"/>
              <w:divBdr>
                <w:top w:val="none" w:sz="0" w:space="0" w:color="auto"/>
                <w:left w:val="none" w:sz="0" w:space="0" w:color="auto"/>
                <w:bottom w:val="none" w:sz="0" w:space="0" w:color="auto"/>
                <w:right w:val="none" w:sz="0" w:space="0" w:color="auto"/>
              </w:divBdr>
            </w:div>
          </w:divsChild>
        </w:div>
        <w:div w:id="1829713633">
          <w:marLeft w:val="480"/>
          <w:marRight w:val="0"/>
          <w:marTop w:val="0"/>
          <w:marBottom w:val="0"/>
          <w:divBdr>
            <w:top w:val="none" w:sz="0" w:space="0" w:color="auto"/>
            <w:left w:val="none" w:sz="0" w:space="0" w:color="auto"/>
            <w:bottom w:val="none" w:sz="0" w:space="0" w:color="auto"/>
            <w:right w:val="none" w:sz="0" w:space="0" w:color="auto"/>
          </w:divBdr>
        </w:div>
        <w:div w:id="2133206056">
          <w:marLeft w:val="480"/>
          <w:marRight w:val="0"/>
          <w:marTop w:val="0"/>
          <w:marBottom w:val="0"/>
          <w:divBdr>
            <w:top w:val="none" w:sz="0" w:space="0" w:color="auto"/>
            <w:left w:val="none" w:sz="0" w:space="0" w:color="auto"/>
            <w:bottom w:val="none" w:sz="0" w:space="0" w:color="auto"/>
            <w:right w:val="none" w:sz="0" w:space="0" w:color="auto"/>
          </w:divBdr>
        </w:div>
        <w:div w:id="604534701">
          <w:marLeft w:val="480"/>
          <w:marRight w:val="0"/>
          <w:marTop w:val="0"/>
          <w:marBottom w:val="0"/>
          <w:divBdr>
            <w:top w:val="none" w:sz="0" w:space="0" w:color="auto"/>
            <w:left w:val="none" w:sz="0" w:space="0" w:color="auto"/>
            <w:bottom w:val="none" w:sz="0" w:space="0" w:color="auto"/>
            <w:right w:val="none" w:sz="0" w:space="0" w:color="auto"/>
          </w:divBdr>
        </w:div>
        <w:div w:id="1569075839">
          <w:marLeft w:val="480"/>
          <w:marRight w:val="0"/>
          <w:marTop w:val="0"/>
          <w:marBottom w:val="0"/>
          <w:divBdr>
            <w:top w:val="none" w:sz="0" w:space="0" w:color="auto"/>
            <w:left w:val="none" w:sz="0" w:space="0" w:color="auto"/>
            <w:bottom w:val="none" w:sz="0" w:space="0" w:color="auto"/>
            <w:right w:val="none" w:sz="0" w:space="0" w:color="auto"/>
          </w:divBdr>
        </w:div>
        <w:div w:id="1539585749">
          <w:marLeft w:val="480"/>
          <w:marRight w:val="0"/>
          <w:marTop w:val="0"/>
          <w:marBottom w:val="0"/>
          <w:divBdr>
            <w:top w:val="none" w:sz="0" w:space="0" w:color="auto"/>
            <w:left w:val="none" w:sz="0" w:space="0" w:color="auto"/>
            <w:bottom w:val="none" w:sz="0" w:space="0" w:color="auto"/>
            <w:right w:val="none" w:sz="0" w:space="0" w:color="auto"/>
          </w:divBdr>
        </w:div>
        <w:div w:id="625815386">
          <w:marLeft w:val="480"/>
          <w:marRight w:val="0"/>
          <w:marTop w:val="0"/>
          <w:marBottom w:val="0"/>
          <w:divBdr>
            <w:top w:val="none" w:sz="0" w:space="0" w:color="auto"/>
            <w:left w:val="none" w:sz="0" w:space="0" w:color="auto"/>
            <w:bottom w:val="none" w:sz="0" w:space="0" w:color="auto"/>
            <w:right w:val="none" w:sz="0" w:space="0" w:color="auto"/>
          </w:divBdr>
        </w:div>
        <w:div w:id="846748167">
          <w:marLeft w:val="480"/>
          <w:marRight w:val="0"/>
          <w:marTop w:val="0"/>
          <w:marBottom w:val="0"/>
          <w:divBdr>
            <w:top w:val="none" w:sz="0" w:space="0" w:color="auto"/>
            <w:left w:val="none" w:sz="0" w:space="0" w:color="auto"/>
            <w:bottom w:val="none" w:sz="0" w:space="0" w:color="auto"/>
            <w:right w:val="none" w:sz="0" w:space="0" w:color="auto"/>
          </w:divBdr>
        </w:div>
        <w:div w:id="1859006165">
          <w:marLeft w:val="480"/>
          <w:marRight w:val="0"/>
          <w:marTop w:val="0"/>
          <w:marBottom w:val="0"/>
          <w:divBdr>
            <w:top w:val="none" w:sz="0" w:space="0" w:color="auto"/>
            <w:left w:val="none" w:sz="0" w:space="0" w:color="auto"/>
            <w:bottom w:val="none" w:sz="0" w:space="0" w:color="auto"/>
            <w:right w:val="none" w:sz="0" w:space="0" w:color="auto"/>
          </w:divBdr>
        </w:div>
        <w:div w:id="853804811">
          <w:marLeft w:val="480"/>
          <w:marRight w:val="0"/>
          <w:marTop w:val="0"/>
          <w:marBottom w:val="0"/>
          <w:divBdr>
            <w:top w:val="none" w:sz="0" w:space="0" w:color="auto"/>
            <w:left w:val="none" w:sz="0" w:space="0" w:color="auto"/>
            <w:bottom w:val="none" w:sz="0" w:space="0" w:color="auto"/>
            <w:right w:val="none" w:sz="0" w:space="0" w:color="auto"/>
          </w:divBdr>
        </w:div>
        <w:div w:id="76180490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A77D3-8414-4635-AC17-48360DBF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1435</Words>
  <Characters>8184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Howard</dc:creator>
  <cp:keywords/>
  <dc:description/>
  <cp:lastModifiedBy>Maureen Gilmore</cp:lastModifiedBy>
  <cp:revision>2</cp:revision>
  <cp:lastPrinted>2024-12-12T13:48:00Z</cp:lastPrinted>
  <dcterms:created xsi:type="dcterms:W3CDTF">2024-12-12T13:49:00Z</dcterms:created>
  <dcterms:modified xsi:type="dcterms:W3CDTF">2024-12-12T13:49:00Z</dcterms:modified>
</cp:coreProperties>
</file>